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1F" w:rsidRDefault="006D5C1F">
      <w:pPr>
        <w:spacing w:line="584" w:lineRule="exact"/>
        <w:ind w:firstLineChars="200" w:firstLine="880"/>
        <w:jc w:val="center"/>
        <w:rPr>
          <w:rFonts w:ascii="Times New Roman" w:eastAsia="仿宋_GB2312" w:hAnsi="Times New Roman" w:cs="Times New Roman"/>
          <w:sz w:val="44"/>
          <w:szCs w:val="44"/>
        </w:rPr>
      </w:pPr>
    </w:p>
    <w:p w:rsidR="006D5C1F" w:rsidRDefault="006D5C1F">
      <w:pPr>
        <w:spacing w:line="584" w:lineRule="exact"/>
        <w:ind w:firstLineChars="200" w:firstLine="880"/>
        <w:jc w:val="center"/>
        <w:rPr>
          <w:rFonts w:ascii="Times New Roman" w:eastAsia="仿宋_GB2312" w:hAnsi="Times New Roman" w:cs="Times New Roman"/>
          <w:sz w:val="44"/>
          <w:szCs w:val="44"/>
        </w:rPr>
      </w:pPr>
    </w:p>
    <w:p w:rsidR="006D5C1F" w:rsidRDefault="00CB7412">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廊</w:t>
      </w:r>
      <w:r w:rsidR="002F783D">
        <w:rPr>
          <w:rFonts w:ascii="Times New Roman" w:eastAsia="方正小标宋简体" w:hAnsi="Times New Roman" w:cs="Times New Roman"/>
          <w:sz w:val="44"/>
          <w:szCs w:val="44"/>
        </w:rPr>
        <w:t>坊市</w:t>
      </w:r>
      <w:r w:rsidR="002F783D">
        <w:rPr>
          <w:rFonts w:ascii="Times New Roman" w:eastAsia="方正小标宋简体" w:hAnsi="Times New Roman" w:cs="Times New Roman" w:hint="eastAsia"/>
          <w:sz w:val="44"/>
          <w:szCs w:val="44"/>
        </w:rPr>
        <w:t>强制隔离戒毒所</w:t>
      </w:r>
      <w:r w:rsidR="002F783D">
        <w:rPr>
          <w:rFonts w:ascii="Times New Roman" w:eastAsia="方正小标宋简体" w:hAnsi="Times New Roman" w:cs="Times New Roman"/>
          <w:sz w:val="44"/>
          <w:szCs w:val="44"/>
        </w:rPr>
        <w:t>20</w:t>
      </w:r>
      <w:r w:rsidR="002F783D">
        <w:rPr>
          <w:rFonts w:ascii="Times New Roman" w:eastAsia="方正小标宋简体" w:hAnsi="Times New Roman" w:cs="Times New Roman" w:hint="eastAsia"/>
          <w:sz w:val="44"/>
          <w:szCs w:val="44"/>
        </w:rPr>
        <w:t>23</w:t>
      </w:r>
      <w:r w:rsidR="002F783D">
        <w:rPr>
          <w:rFonts w:ascii="Times New Roman" w:eastAsia="方正小标宋简体" w:hAnsi="Times New Roman" w:cs="Times New Roman"/>
          <w:sz w:val="44"/>
          <w:szCs w:val="44"/>
        </w:rPr>
        <w:t>年部门预算信息公开</w:t>
      </w:r>
      <w:r w:rsidR="002F783D">
        <w:rPr>
          <w:rFonts w:ascii="Times New Roman" w:eastAsia="方正小标宋简体" w:hAnsi="Times New Roman" w:cs="Times New Roman" w:hint="eastAsia"/>
          <w:sz w:val="44"/>
          <w:szCs w:val="44"/>
        </w:rPr>
        <w:t>情况说明</w:t>
      </w:r>
    </w:p>
    <w:p w:rsidR="006D5C1F" w:rsidRDefault="006D5C1F">
      <w:pPr>
        <w:spacing w:line="584" w:lineRule="exact"/>
        <w:ind w:firstLineChars="200" w:firstLine="880"/>
        <w:jc w:val="center"/>
        <w:rPr>
          <w:rFonts w:ascii="Times New Roman" w:eastAsia="仿宋_GB2312" w:hAnsi="Times New Roman" w:cs="Times New Roman"/>
          <w:sz w:val="44"/>
          <w:szCs w:val="44"/>
        </w:rPr>
      </w:pPr>
    </w:p>
    <w:p w:rsidR="006D5C1F" w:rsidRDefault="002F783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何必省廊坊市强制隔离戒毒所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年部门预算公开如下：</w:t>
      </w:r>
    </w:p>
    <w:p w:rsidR="006D5C1F" w:rsidRDefault="002F783D">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6D5C1F" w:rsidRDefault="002F783D" w:rsidP="00355271">
      <w:pPr>
        <w:spacing w:line="584"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6D5C1F" w:rsidRDefault="002F783D">
      <w:pPr>
        <w:shd w:val="clear" w:color="auto" w:fill="FFFFFF"/>
        <w:overflowPunct w:val="0"/>
        <w:spacing w:line="584"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根据《廊坊市机构编制委员会关于调整市劳动教养管理所职责及机构设置的批复》（</w:t>
      </w:r>
      <w:proofErr w:type="gramStart"/>
      <w:r>
        <w:rPr>
          <w:rFonts w:ascii="仿宋_GB2312" w:eastAsia="仿宋_GB2312" w:hAnsi="Times New Roman" w:hint="eastAsia"/>
          <w:sz w:val="32"/>
          <w:szCs w:val="32"/>
        </w:rPr>
        <w:t>廊编[</w:t>
      </w:r>
      <w:proofErr w:type="gramEnd"/>
      <w:r>
        <w:rPr>
          <w:rFonts w:ascii="仿宋_GB2312" w:eastAsia="仿宋_GB2312" w:hAnsi="Times New Roman" w:hint="eastAsia"/>
          <w:sz w:val="32"/>
          <w:szCs w:val="32"/>
        </w:rPr>
        <w:t>2015]25号），河北省廊坊市强制隔离戒毒所负责收治廊坊市辖区内的强制隔离戒毒人员，对强</w:t>
      </w:r>
      <w:proofErr w:type="gramStart"/>
      <w:r>
        <w:rPr>
          <w:rFonts w:ascii="仿宋_GB2312" w:eastAsia="仿宋_GB2312" w:hAnsi="Times New Roman" w:hint="eastAsia"/>
          <w:sz w:val="32"/>
          <w:szCs w:val="32"/>
        </w:rPr>
        <w:t>戒人员</w:t>
      </w:r>
      <w:proofErr w:type="gramEnd"/>
      <w:r>
        <w:rPr>
          <w:rFonts w:ascii="仿宋_GB2312" w:eastAsia="仿宋_GB2312" w:hAnsi="Times New Roman" w:hint="eastAsia"/>
          <w:sz w:val="32"/>
          <w:szCs w:val="32"/>
        </w:rPr>
        <w:t>进行收治、管理，提供科学规范的戒毒治疗、心理治疗、身体康复训练，开展法律、道德、形势政策教育，组织强</w:t>
      </w:r>
      <w:proofErr w:type="gramStart"/>
      <w:r>
        <w:rPr>
          <w:rFonts w:ascii="仿宋_GB2312" w:eastAsia="仿宋_GB2312" w:hAnsi="Times New Roman" w:hint="eastAsia"/>
          <w:sz w:val="32"/>
          <w:szCs w:val="32"/>
        </w:rPr>
        <w:t>戒人员</w:t>
      </w:r>
      <w:proofErr w:type="gramEnd"/>
      <w:r>
        <w:rPr>
          <w:rFonts w:ascii="仿宋_GB2312" w:eastAsia="仿宋_GB2312" w:hAnsi="Times New Roman" w:hint="eastAsia"/>
          <w:sz w:val="32"/>
          <w:szCs w:val="32"/>
        </w:rPr>
        <w:t>参加职业技能培训，对强</w:t>
      </w:r>
      <w:proofErr w:type="gramStart"/>
      <w:r>
        <w:rPr>
          <w:rFonts w:ascii="仿宋_GB2312" w:eastAsia="仿宋_GB2312" w:hAnsi="Times New Roman" w:hint="eastAsia"/>
          <w:sz w:val="32"/>
          <w:szCs w:val="32"/>
        </w:rPr>
        <w:t>戒人员</w:t>
      </w:r>
      <w:proofErr w:type="gramEnd"/>
      <w:r>
        <w:rPr>
          <w:rFonts w:ascii="仿宋_GB2312" w:eastAsia="仿宋_GB2312" w:hAnsi="Times New Roman" w:hint="eastAsia"/>
          <w:sz w:val="32"/>
          <w:szCs w:val="32"/>
        </w:rPr>
        <w:t>进行诊断评估，办理解除强制隔离戒毒手续，深化强制隔离戒毒执法工作。</w:t>
      </w:r>
    </w:p>
    <w:p w:rsidR="006D5C1F" w:rsidRDefault="002F783D" w:rsidP="00355271">
      <w:pPr>
        <w:autoSpaceDE w:val="0"/>
        <w:autoSpaceDN w:val="0"/>
        <w:adjustRightInd w:val="0"/>
        <w:spacing w:line="584" w:lineRule="exact"/>
        <w:ind w:firstLineChars="196" w:firstLine="628"/>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6D5C1F" w:rsidRDefault="002F783D">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lastRenderedPageBreak/>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6D5C1F">
        <w:trPr>
          <w:trHeight w:val="584"/>
          <w:tblHeader/>
          <w:jc w:val="center"/>
        </w:trPr>
        <w:tc>
          <w:tcPr>
            <w:tcW w:w="4443" w:type="dxa"/>
            <w:vMerge w:val="restart"/>
            <w:shd w:val="clear" w:color="auto" w:fill="auto"/>
            <w:vAlign w:val="center"/>
          </w:tcPr>
          <w:p w:rsidR="006D5C1F" w:rsidRDefault="002F783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6D5C1F" w:rsidRDefault="002F783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6D5C1F" w:rsidRDefault="002F783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6D5C1F" w:rsidRDefault="002F783D">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6D5C1F">
        <w:trPr>
          <w:trHeight w:val="584"/>
          <w:tblHeader/>
          <w:jc w:val="center"/>
        </w:trPr>
        <w:tc>
          <w:tcPr>
            <w:tcW w:w="4443" w:type="dxa"/>
            <w:vMerge/>
            <w:shd w:val="clear" w:color="auto" w:fill="auto"/>
            <w:vAlign w:val="center"/>
          </w:tcPr>
          <w:p w:rsidR="006D5C1F" w:rsidRDefault="006D5C1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6D5C1F" w:rsidRDefault="006D5C1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6D5C1F" w:rsidRDefault="006D5C1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6D5C1F" w:rsidRDefault="006D5C1F">
            <w:pPr>
              <w:spacing w:line="584" w:lineRule="exact"/>
              <w:jc w:val="left"/>
              <w:outlineLvl w:val="0"/>
              <w:rPr>
                <w:rFonts w:ascii="Times New Roman" w:eastAsia="仿宋_GB2312" w:hAnsi="Times New Roman" w:cs="Times New Roman"/>
                <w:szCs w:val="24"/>
              </w:rPr>
            </w:pPr>
          </w:p>
        </w:tc>
      </w:tr>
      <w:tr w:rsidR="006D5C1F">
        <w:trPr>
          <w:trHeight w:val="227"/>
          <w:jc w:val="center"/>
        </w:trPr>
        <w:tc>
          <w:tcPr>
            <w:tcW w:w="4443" w:type="dxa"/>
            <w:shd w:val="clear" w:color="auto" w:fill="auto"/>
            <w:vAlign w:val="center"/>
          </w:tcPr>
          <w:p w:rsidR="006D5C1F" w:rsidRDefault="002F783D">
            <w:pPr>
              <w:spacing w:line="584" w:lineRule="exact"/>
              <w:jc w:val="center"/>
              <w:rPr>
                <w:rFonts w:ascii="Times New Roman" w:eastAsia="仿宋_GB2312" w:hAnsi="Times New Roman" w:cs="Times New Roman"/>
                <w:b/>
              </w:rPr>
            </w:pPr>
            <w:r>
              <w:rPr>
                <w:rFonts w:ascii="仿宋" w:eastAsia="仿宋" w:hAnsi="仿宋" w:cs="仿宋" w:hint="eastAsia"/>
                <w:kern w:val="0"/>
                <w:sz w:val="24"/>
                <w:szCs w:val="24"/>
              </w:rPr>
              <w:t>河北省廊坊市强制隔离戒毒所</w:t>
            </w:r>
          </w:p>
        </w:tc>
        <w:tc>
          <w:tcPr>
            <w:tcW w:w="1134" w:type="dxa"/>
            <w:shd w:val="clear" w:color="auto" w:fill="auto"/>
            <w:vAlign w:val="center"/>
          </w:tcPr>
          <w:p w:rsidR="006D5C1F" w:rsidRDefault="002F783D">
            <w:pPr>
              <w:spacing w:line="584" w:lineRule="exact"/>
              <w:jc w:val="center"/>
              <w:rPr>
                <w:rFonts w:ascii="Times New Roman" w:eastAsia="仿宋_GB2312" w:hAnsi="Times New Roman" w:cs="Times New Roman"/>
                <w:b/>
              </w:rPr>
            </w:pPr>
            <w:r>
              <w:rPr>
                <w:rFonts w:ascii="仿宋" w:eastAsia="仿宋" w:hAnsi="仿宋" w:cs="仿宋" w:hint="eastAsia"/>
                <w:kern w:val="0"/>
                <w:sz w:val="24"/>
                <w:szCs w:val="24"/>
              </w:rPr>
              <w:t>行政</w:t>
            </w:r>
          </w:p>
        </w:tc>
        <w:tc>
          <w:tcPr>
            <w:tcW w:w="1276" w:type="dxa"/>
            <w:shd w:val="clear" w:color="auto" w:fill="auto"/>
            <w:vAlign w:val="center"/>
          </w:tcPr>
          <w:p w:rsidR="006D5C1F" w:rsidRDefault="002F783D">
            <w:pPr>
              <w:spacing w:line="584" w:lineRule="exact"/>
              <w:jc w:val="center"/>
              <w:rPr>
                <w:rFonts w:ascii="Times New Roman" w:eastAsia="仿宋_GB2312" w:hAnsi="Times New Roman" w:cs="Times New Roman"/>
                <w:b/>
              </w:rPr>
            </w:pPr>
            <w:r>
              <w:rPr>
                <w:rFonts w:ascii="仿宋" w:eastAsia="仿宋" w:hAnsi="仿宋" w:cs="仿宋" w:hint="eastAsia"/>
                <w:kern w:val="0"/>
                <w:sz w:val="24"/>
                <w:szCs w:val="24"/>
              </w:rPr>
              <w:t>副处级</w:t>
            </w:r>
          </w:p>
        </w:tc>
        <w:tc>
          <w:tcPr>
            <w:tcW w:w="2902" w:type="dxa"/>
            <w:shd w:val="clear" w:color="auto" w:fill="auto"/>
            <w:vAlign w:val="center"/>
          </w:tcPr>
          <w:p w:rsidR="006D5C1F" w:rsidRDefault="002F783D">
            <w:pPr>
              <w:spacing w:line="584" w:lineRule="exact"/>
              <w:jc w:val="center"/>
              <w:rPr>
                <w:rFonts w:ascii="Times New Roman" w:eastAsia="仿宋_GB2312" w:hAnsi="Times New Roman" w:cs="Times New Roman"/>
                <w:b/>
              </w:rPr>
            </w:pPr>
            <w:r>
              <w:rPr>
                <w:rFonts w:ascii="仿宋" w:eastAsia="仿宋" w:hAnsi="仿宋" w:cs="仿宋" w:hint="eastAsia"/>
                <w:kern w:val="0"/>
                <w:sz w:val="24"/>
                <w:szCs w:val="24"/>
              </w:rPr>
              <w:t>财政拨款</w:t>
            </w:r>
          </w:p>
        </w:tc>
      </w:tr>
    </w:tbl>
    <w:p w:rsidR="006D5C1F" w:rsidRDefault="006D5C1F">
      <w:pPr>
        <w:spacing w:line="584" w:lineRule="exact"/>
        <w:ind w:firstLineChars="200" w:firstLine="640"/>
        <w:rPr>
          <w:rFonts w:ascii="Times New Roman" w:eastAsia="仿宋" w:hAnsi="Times New Roman" w:cs="Times New Roman"/>
          <w:color w:val="FF0000"/>
          <w:sz w:val="32"/>
          <w:szCs w:val="32"/>
        </w:rPr>
      </w:pPr>
    </w:p>
    <w:p w:rsidR="006D5C1F" w:rsidRDefault="002F783D">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6D5C1F" w:rsidRDefault="002F783D">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按照预算管理有关规定，目前我市部门预算的编制实行综合预算制度，即全部收入和支出都反映在预算中。</w:t>
      </w:r>
      <w:r>
        <w:rPr>
          <w:rFonts w:ascii="Times New Roman" w:eastAsia="仿宋_GB2312" w:hAnsi="Times New Roman" w:cs="Times New Roman" w:hint="eastAsia"/>
          <w:sz w:val="32"/>
          <w:szCs w:val="32"/>
        </w:rPr>
        <w:t>河北省</w:t>
      </w: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强制隔离戒毒所</w:t>
      </w:r>
      <w:r>
        <w:rPr>
          <w:rFonts w:ascii="Times New Roman" w:eastAsia="仿宋_GB2312" w:hAnsi="Times New Roman" w:cs="Times New Roman"/>
          <w:sz w:val="32"/>
          <w:szCs w:val="32"/>
        </w:rPr>
        <w:t>单位的收支包含在部门预算中。</w:t>
      </w:r>
    </w:p>
    <w:p w:rsidR="006D5C1F" w:rsidRDefault="002F783D">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6D5C1F" w:rsidRDefault="002F783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1774.27</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1774.27</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6D5C1F" w:rsidRDefault="002F783D">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6D5C1F" w:rsidRDefault="002F783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Pr>
          <w:rFonts w:ascii="Times New Roman" w:eastAsia="仿宋_GB2312" w:hAnsi="Times New Roman" w:cs="Times New Roman" w:hint="eastAsia"/>
          <w:sz w:val="32"/>
          <w:szCs w:val="32"/>
        </w:rPr>
        <w:t>河北省</w:t>
      </w: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强制隔离戒毒所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1774.27</w:t>
      </w:r>
      <w:r>
        <w:rPr>
          <w:rFonts w:ascii="Times New Roman" w:eastAsia="仿宋_GB2312" w:hAnsi="Times New Roman" w:cs="Times New Roman"/>
          <w:sz w:val="32"/>
          <w:szCs w:val="32"/>
        </w:rPr>
        <w:lastRenderedPageBreak/>
        <w:t>万元，其中基本支出</w:t>
      </w:r>
      <w:r>
        <w:rPr>
          <w:rFonts w:ascii="Times New Roman" w:eastAsia="仿宋_GB2312" w:hAnsi="Times New Roman" w:cs="Times New Roman" w:hint="eastAsia"/>
          <w:sz w:val="32"/>
          <w:szCs w:val="32"/>
        </w:rPr>
        <w:t>1537.24</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1331.33</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205.91</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237.03</w:t>
      </w:r>
      <w:r>
        <w:rPr>
          <w:rFonts w:ascii="Times New Roman" w:eastAsia="仿宋_GB2312" w:hAnsi="Times New Roman" w:cs="Times New Roman"/>
          <w:sz w:val="32"/>
          <w:szCs w:val="32"/>
        </w:rPr>
        <w:t>万元。</w:t>
      </w:r>
    </w:p>
    <w:p w:rsidR="006D5C1F" w:rsidRDefault="002F783D">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6D5C1F" w:rsidRDefault="002F783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1774.27</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1774.64</w:t>
      </w:r>
      <w:r>
        <w:rPr>
          <w:rFonts w:ascii="Times New Roman" w:eastAsia="仿宋_GB2312" w:hAnsi="Times New Roman" w:cs="Times New Roman"/>
          <w:sz w:val="32"/>
          <w:szCs w:val="32"/>
        </w:rPr>
        <w:t>减少</w:t>
      </w:r>
      <w:r>
        <w:rPr>
          <w:rFonts w:ascii="Times New Roman" w:eastAsia="仿宋_GB2312" w:hAnsi="Times New Roman" w:cs="Times New Roman" w:hint="eastAsia"/>
          <w:sz w:val="32"/>
          <w:szCs w:val="32"/>
        </w:rPr>
        <w:t>0.37</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95.32</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人员经费工资福利支出等和日常公用经费水费、电费、办公费支出等</w:t>
      </w:r>
      <w:r>
        <w:rPr>
          <w:rFonts w:ascii="Times New Roman" w:eastAsia="仿宋_GB2312" w:hAnsi="Times New Roman" w:cs="Times New Roman"/>
          <w:sz w:val="32"/>
          <w:szCs w:val="32"/>
        </w:rPr>
        <w:t>支出；项目支出减少</w:t>
      </w:r>
      <w:r>
        <w:rPr>
          <w:rFonts w:ascii="Times New Roman" w:eastAsia="仿宋_GB2312" w:hAnsi="Times New Roman" w:cs="Times New Roman" w:hint="eastAsia"/>
          <w:sz w:val="32"/>
          <w:szCs w:val="32"/>
        </w:rPr>
        <w:t>95.69</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戒毒所工作经费、三类及安全警戒岗位用工经费、警察服装购置经费等</w:t>
      </w:r>
      <w:r>
        <w:rPr>
          <w:rFonts w:ascii="Times New Roman" w:eastAsia="仿宋_GB2312" w:hAnsi="Times New Roman" w:cs="Times New Roman"/>
          <w:sz w:val="32"/>
          <w:szCs w:val="32"/>
        </w:rPr>
        <w:t>项目支出。</w:t>
      </w:r>
    </w:p>
    <w:p w:rsidR="006D5C1F" w:rsidRDefault="002F783D">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年，我</w:t>
      </w:r>
      <w:r w:rsidR="00355271" w:rsidRPr="00355271">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205.91</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河北省廊坊市强制隔离戒毒所</w:t>
      </w:r>
      <w:r>
        <w:rPr>
          <w:rFonts w:ascii="Times New Roman" w:eastAsia="仿宋_GB2312" w:hAnsi="Times New Roman" w:cs="Times New Roman"/>
          <w:sz w:val="32"/>
          <w:szCs w:val="32"/>
        </w:rPr>
        <w:t>办公区的日常维修、办公用房水电费、办公用房取暖费、办公用房物业管理费等日常运行支出。</w:t>
      </w:r>
    </w:p>
    <w:p w:rsidR="006D5C1F" w:rsidRDefault="002F783D" w:rsidP="00355271">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6D5C1F" w:rsidRDefault="002F783D">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年，我</w:t>
      </w:r>
      <w:r w:rsidR="00355271">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21.09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19.67</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19.67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1.42</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增</w:t>
      </w:r>
      <w:r>
        <w:rPr>
          <w:rFonts w:ascii="Times New Roman" w:eastAsia="仿宋_GB2312" w:hAnsi="Times New Roman" w:cs="Times New Roman" w:hint="eastAsia"/>
          <w:sz w:val="32"/>
          <w:szCs w:val="32"/>
        </w:rPr>
        <w:t>加</w:t>
      </w:r>
      <w:r>
        <w:rPr>
          <w:rFonts w:ascii="Times New Roman" w:eastAsia="仿宋_GB2312" w:hAnsi="Times New Roman" w:cs="Times New Roman" w:hint="eastAsia"/>
          <w:sz w:val="32"/>
          <w:szCs w:val="32"/>
        </w:rPr>
        <w:t>0.40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公务用车购置及运维费增</w:t>
      </w:r>
      <w:r>
        <w:rPr>
          <w:rFonts w:ascii="Times New Roman" w:eastAsia="仿宋_GB2312" w:hAnsi="Times New Roman" w:cs="Times New Roman" w:hint="eastAsia"/>
          <w:sz w:val="32"/>
          <w:szCs w:val="32"/>
        </w:rPr>
        <w:t>加</w:t>
      </w:r>
      <w:r>
        <w:rPr>
          <w:rFonts w:ascii="Times New Roman" w:eastAsia="仿宋_GB2312" w:hAnsi="Times New Roman" w:cs="Times New Roman" w:hint="eastAsia"/>
          <w:sz w:val="32"/>
          <w:szCs w:val="32"/>
        </w:rPr>
        <w:t>0.01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万元与上年持平，</w:t>
      </w:r>
      <w:r>
        <w:rPr>
          <w:rFonts w:ascii="Times New Roman" w:eastAsia="仿宋_GB2312" w:hAnsi="Times New Roman" w:cs="Times New Roman"/>
          <w:sz w:val="32"/>
          <w:szCs w:val="32"/>
        </w:rPr>
        <w:t>公务用车运维费增</w:t>
      </w:r>
      <w:r>
        <w:rPr>
          <w:rFonts w:ascii="Times New Roman" w:eastAsia="仿宋_GB2312" w:hAnsi="Times New Roman" w:cs="Times New Roman" w:hint="eastAsia"/>
          <w:sz w:val="32"/>
          <w:szCs w:val="32"/>
        </w:rPr>
        <w:t>加</w:t>
      </w:r>
      <w:r>
        <w:rPr>
          <w:rFonts w:ascii="Times New Roman" w:eastAsia="仿宋_GB2312" w:hAnsi="Times New Roman" w:cs="Times New Roman" w:hint="eastAsia"/>
          <w:sz w:val="32"/>
          <w:szCs w:val="32"/>
        </w:rPr>
        <w:t>0.01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预算测算数变化</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1.42</w:t>
      </w:r>
      <w:r>
        <w:rPr>
          <w:rFonts w:ascii="Times New Roman" w:eastAsia="仿宋_GB2312" w:hAnsi="Times New Roman" w:cs="Times New Roman"/>
          <w:sz w:val="32"/>
          <w:szCs w:val="32"/>
        </w:rPr>
        <w:t>万元增</w:t>
      </w:r>
      <w:r>
        <w:rPr>
          <w:rFonts w:ascii="Times New Roman" w:eastAsia="仿宋_GB2312" w:hAnsi="Times New Roman" w:cs="Times New Roman" w:hint="eastAsia"/>
          <w:sz w:val="32"/>
          <w:szCs w:val="32"/>
        </w:rPr>
        <w:t>加</w:t>
      </w:r>
      <w:r>
        <w:rPr>
          <w:rFonts w:ascii="Times New Roman" w:eastAsia="仿宋_GB2312" w:hAnsi="Times New Roman" w:cs="Times New Roman" w:hint="eastAsia"/>
          <w:sz w:val="32"/>
          <w:szCs w:val="32"/>
        </w:rPr>
        <w:t>0.39</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按照人员数量核定公务接待费额度。</w:t>
      </w:r>
    </w:p>
    <w:p w:rsidR="006D5C1F" w:rsidRDefault="002F783D">
      <w:pPr>
        <w:numPr>
          <w:ilvl w:val="0"/>
          <w:numId w:val="1"/>
        </w:numPr>
        <w:spacing w:line="584"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预算绩效信息</w:t>
      </w:r>
    </w:p>
    <w:p w:rsidR="006D5C1F" w:rsidRDefault="002F783D">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第一部分部门整体绩效目标</w:t>
      </w:r>
    </w:p>
    <w:p w:rsidR="006D5C1F" w:rsidRDefault="002F783D" w:rsidP="00355271">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通</w:t>
      </w:r>
      <w:r>
        <w:rPr>
          <w:rFonts w:ascii="Times New Roman" w:eastAsia="仿宋_GB2312" w:hAnsi="Times New Roman" w:cs="Times New Roman" w:hint="eastAsia"/>
          <w:sz w:val="32"/>
          <w:szCs w:val="32"/>
        </w:rPr>
        <w:t>过依法收治强制隔离戒毒人员，落实安全管理制度，开展生理脱毒、教育适应、康复巩固和回归指导工作，重点推进戒毒人员教育矫正、康复训练、心理矫治、戒毒医疗、诊断评估执法业务，确保场所秩序稳定，实现所内戒断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，稳步降低戒毒人员回归社会复吸率，积极营造平安和谐社会环境。</w:t>
      </w:r>
    </w:p>
    <w:p w:rsidR="006D5C1F" w:rsidRDefault="002F783D" w:rsidP="00355271">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绩效目标：依法收治强制隔离戒毒人员，重点推进戒毒人员教育矫正、康复训练、心理矫治、戒毒医疗、诊断评估执法业务，确保场所秩序稳定。</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绩效指标：所内戒断率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，戒毒人员回归社会复吸率较上年降低。</w:t>
      </w:r>
    </w:p>
    <w:p w:rsidR="006D5C1F" w:rsidRDefault="002F783D" w:rsidP="00355271">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本部门为实现年度绩效目标，保证绩效目标实现，结合本部门预算绩效管理的实际情况制定了如下保障措施：</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完善制度建设</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按照部门内部控制的总体要求，制定完善预算绩效管理制度、财务管理规定、现金管理办法等相关工作保障制度，为全年预算绩效目标的实现奠定制度基础。</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加强支出管理</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通过优化支出结构、编细编实预算、加快履行政府采购手续、尽快启动项目、及时支付资金，确保支出进度达标。</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加强绩效运行监控</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为加强绩效运行监控，</w:t>
      </w:r>
      <w:proofErr w:type="gramStart"/>
      <w:r>
        <w:rPr>
          <w:rFonts w:ascii="Times New Roman" w:eastAsia="仿宋_GB2312" w:hAnsi="Times New Roman" w:cs="Times New Roman" w:hint="eastAsia"/>
          <w:sz w:val="32"/>
          <w:szCs w:val="32"/>
        </w:rPr>
        <w:t>我部门</w:t>
      </w:r>
      <w:proofErr w:type="gramEnd"/>
      <w:r>
        <w:rPr>
          <w:rFonts w:ascii="Times New Roman" w:eastAsia="仿宋_GB2312" w:hAnsi="Times New Roman" w:cs="Times New Roman" w:hint="eastAsia"/>
          <w:sz w:val="32"/>
          <w:szCs w:val="32"/>
        </w:rPr>
        <w:t>成立了预算绩效管理领导小组，下设绩效管理工作办公室，按要求开展绩效运行监控，发现问题及时采取措施，确保绩效目标如期保质实现。</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做好绩效自评</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按要求开展上年度部门预算绩效自评和重点评价工作，对评价中发现的问题及时整改，调整优化支出结构，提高财政资金使用效益。</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规范财务资产管理</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完善财务管理制度，严格审批程序，加强固定资产登记、使用和报废处置管理，做到支出合理，物尽其用。</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加强内部监督</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加强宣传培训调研等</w:t>
      </w:r>
    </w:p>
    <w:p w:rsidR="006D5C1F" w:rsidRDefault="002F783D">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加强人员培训，提高本部门人员业务素质；加强调研，提出优化财政资金配置、提高资金使用效益的意见建议；加大宣传力度，强化预算绩效管理意识，促进预算绩效管理水平进一步提升。</w:t>
      </w:r>
    </w:p>
    <w:p w:rsidR="006D5C1F" w:rsidRDefault="002F783D" w:rsidP="00355271">
      <w:pPr>
        <w:overflowPunct w:val="0"/>
        <w:adjustRightInd w:val="0"/>
        <w:snapToGrid w:val="0"/>
        <w:spacing w:afterLines="50" w:after="120" w:line="584" w:lineRule="exact"/>
        <w:ind w:firstLineChars="196" w:firstLine="628"/>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58"/>
        <w:gridCol w:w="825"/>
        <w:gridCol w:w="897"/>
        <w:gridCol w:w="2172"/>
        <w:gridCol w:w="1483"/>
        <w:gridCol w:w="543"/>
        <w:gridCol w:w="488"/>
        <w:gridCol w:w="573"/>
        <w:gridCol w:w="1277"/>
      </w:tblGrid>
      <w:tr w:rsidR="006D5C1F">
        <w:trPr>
          <w:trHeight w:val="326"/>
          <w:tblHeader/>
          <w:jc w:val="center"/>
        </w:trPr>
        <w:tc>
          <w:tcPr>
            <w:tcW w:w="558"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二级</w:t>
            </w:r>
          </w:p>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三级</w:t>
            </w:r>
          </w:p>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绩效指标</w:t>
            </w:r>
          </w:p>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指标值</w:t>
            </w:r>
          </w:p>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确定依据</w:t>
            </w:r>
          </w:p>
        </w:tc>
      </w:tr>
      <w:tr w:rsidR="006D5C1F">
        <w:trPr>
          <w:trHeight w:val="533"/>
          <w:tblHeader/>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spacing w:line="584" w:lineRule="exact"/>
            </w:pPr>
          </w:p>
        </w:tc>
        <w:tc>
          <w:tcPr>
            <w:tcW w:w="897" w:type="dxa"/>
            <w:vMerge/>
            <w:tcBorders>
              <w:tl2br w:val="nil"/>
              <w:tr2bl w:val="nil"/>
            </w:tcBorders>
            <w:vAlign w:val="center"/>
          </w:tcPr>
          <w:p w:rsidR="006D5C1F" w:rsidRDefault="006D5C1F">
            <w:pPr>
              <w:spacing w:line="584" w:lineRule="exact"/>
            </w:pPr>
          </w:p>
        </w:tc>
        <w:tc>
          <w:tcPr>
            <w:tcW w:w="2172" w:type="dxa"/>
            <w:vMerge/>
            <w:tcBorders>
              <w:tl2br w:val="nil"/>
              <w:tr2bl w:val="nil"/>
            </w:tcBorders>
            <w:vAlign w:val="center"/>
          </w:tcPr>
          <w:p w:rsidR="006D5C1F" w:rsidRDefault="006D5C1F">
            <w:pPr>
              <w:spacing w:line="584" w:lineRule="exact"/>
            </w:pPr>
          </w:p>
        </w:tc>
        <w:tc>
          <w:tcPr>
            <w:tcW w:w="1483" w:type="dxa"/>
            <w:vMerge/>
            <w:tcBorders>
              <w:tl2br w:val="nil"/>
              <w:tr2bl w:val="nil"/>
            </w:tcBorders>
            <w:vAlign w:val="center"/>
          </w:tcPr>
          <w:p w:rsidR="006D5C1F" w:rsidRDefault="006D5C1F">
            <w:pPr>
              <w:spacing w:line="584" w:lineRule="exact"/>
            </w:pPr>
          </w:p>
        </w:tc>
        <w:tc>
          <w:tcPr>
            <w:tcW w:w="543" w:type="dxa"/>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6D5C1F" w:rsidRDefault="006D5C1F">
            <w:pPr>
              <w:spacing w:line="584" w:lineRule="exact"/>
            </w:pPr>
          </w:p>
        </w:tc>
      </w:tr>
      <w:tr w:rsidR="006D5C1F">
        <w:trPr>
          <w:trHeight w:val="594"/>
          <w:jc w:val="center"/>
        </w:trPr>
        <w:tc>
          <w:tcPr>
            <w:tcW w:w="558"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t>部门</w:t>
            </w:r>
            <w:r>
              <w:rPr>
                <w:rFonts w:ascii="方正书宋_GBK" w:eastAsia="方正书宋_GBK"/>
              </w:rPr>
              <w:lastRenderedPageBreak/>
              <w:t>产出</w:t>
            </w: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lastRenderedPageBreak/>
              <w:t>数量</w:t>
            </w:r>
          </w:p>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lastRenderedPageBreak/>
              <w:t>普法考试次数</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达到目标得权重分的</w:t>
            </w:r>
            <w:r>
              <w:rPr>
                <w:rFonts w:eastAsia="仿宋_GB2312"/>
                <w:color w:val="000000"/>
                <w:szCs w:val="21"/>
              </w:rPr>
              <w:t>100%</w:t>
            </w:r>
            <w:r>
              <w:rPr>
                <w:rFonts w:eastAsia="仿宋_GB2312"/>
                <w:color w:val="000000"/>
                <w:szCs w:val="21"/>
              </w:rPr>
              <w:t>，未完成不得分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考察组织各类人员普法考试次数</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次</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594"/>
          <w:jc w:val="center"/>
        </w:trPr>
        <w:tc>
          <w:tcPr>
            <w:tcW w:w="558"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调解案件数量</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达到目标得权重分的</w:t>
            </w:r>
            <w:r>
              <w:rPr>
                <w:rFonts w:eastAsia="仿宋_GB2312"/>
                <w:color w:val="000000"/>
                <w:szCs w:val="21"/>
              </w:rPr>
              <w:t>100%</w:t>
            </w:r>
            <w:r>
              <w:rPr>
                <w:rFonts w:eastAsia="仿宋_GB2312"/>
                <w:color w:val="000000"/>
                <w:szCs w:val="21"/>
              </w:rPr>
              <w:t>，每少完成</w:t>
            </w:r>
            <w:r>
              <w:rPr>
                <w:rFonts w:eastAsia="仿宋_GB2312"/>
                <w:color w:val="000000"/>
                <w:szCs w:val="21"/>
              </w:rPr>
              <w:t>10</w:t>
            </w:r>
            <w:r>
              <w:rPr>
                <w:rFonts w:eastAsia="仿宋_GB2312"/>
                <w:color w:val="000000"/>
                <w:szCs w:val="21"/>
              </w:rPr>
              <w:t>件扣减权重分的</w:t>
            </w:r>
            <w:r>
              <w:rPr>
                <w:rFonts w:eastAsia="仿宋_GB2312"/>
                <w:color w:val="000000"/>
                <w:szCs w:val="21"/>
              </w:rPr>
              <w:t>10%</w:t>
            </w:r>
            <w:r>
              <w:rPr>
                <w:rFonts w:eastAsia="仿宋_GB2312"/>
                <w:color w:val="000000"/>
                <w:szCs w:val="21"/>
              </w:rPr>
              <w:t>，扣完为止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反映各类案件调解工作的完成情况</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6000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件</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594"/>
          <w:jc w:val="center"/>
        </w:trPr>
        <w:tc>
          <w:tcPr>
            <w:tcW w:w="558"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人员培训</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达到目标得权重分的</w:t>
            </w:r>
            <w:r>
              <w:rPr>
                <w:rFonts w:eastAsia="仿宋_GB2312"/>
                <w:color w:val="000000"/>
                <w:szCs w:val="21"/>
              </w:rPr>
              <w:t>100%</w:t>
            </w:r>
            <w:r>
              <w:rPr>
                <w:rFonts w:eastAsia="仿宋_GB2312"/>
                <w:color w:val="000000"/>
                <w:szCs w:val="21"/>
              </w:rPr>
              <w:t>，未完成不得分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考察全年行政执法人员和执法监督人员的培训情况</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次</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法律援助案件指派率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达到目标得权重分的</w:t>
            </w:r>
            <w:r>
              <w:rPr>
                <w:rFonts w:eastAsia="仿宋_GB2312"/>
                <w:color w:val="000000"/>
                <w:szCs w:val="21"/>
              </w:rPr>
              <w:t>100%</w:t>
            </w:r>
            <w:r>
              <w:rPr>
                <w:rFonts w:eastAsia="仿宋_GB2312"/>
                <w:color w:val="000000"/>
                <w:szCs w:val="21"/>
              </w:rPr>
              <w:t>，每下降</w:t>
            </w:r>
            <w:r>
              <w:rPr>
                <w:rFonts w:eastAsia="仿宋_GB2312"/>
                <w:color w:val="000000"/>
                <w:szCs w:val="21"/>
              </w:rPr>
              <w:t>1%</w:t>
            </w:r>
            <w:r>
              <w:rPr>
                <w:rFonts w:eastAsia="仿宋_GB2312"/>
                <w:color w:val="000000"/>
                <w:szCs w:val="21"/>
              </w:rPr>
              <w:t>扣减权重分的</w:t>
            </w:r>
            <w:r>
              <w:rPr>
                <w:rFonts w:eastAsia="仿宋_GB2312"/>
                <w:color w:val="000000"/>
                <w:szCs w:val="21"/>
              </w:rPr>
              <w:t>10%</w:t>
            </w:r>
            <w:r>
              <w:rPr>
                <w:rFonts w:eastAsia="仿宋_GB2312"/>
                <w:color w:val="000000"/>
                <w:szCs w:val="21"/>
              </w:rPr>
              <w:t>，扣完为止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完成法律援助案件指派率</w:t>
            </w:r>
            <w:r>
              <w:rPr>
                <w:rFonts w:eastAsia="仿宋_GB2312"/>
                <w:color w:val="000000"/>
                <w:szCs w:val="21"/>
              </w:rPr>
              <w:t>=</w:t>
            </w:r>
            <w:r>
              <w:rPr>
                <w:rFonts w:eastAsia="仿宋_GB2312"/>
                <w:color w:val="000000"/>
                <w:szCs w:val="21"/>
              </w:rPr>
              <w:t>（应指派法律援助案件数</w:t>
            </w:r>
            <w:r>
              <w:rPr>
                <w:rFonts w:eastAsia="仿宋_GB2312"/>
                <w:color w:val="000000"/>
                <w:szCs w:val="21"/>
              </w:rPr>
              <w:t>/</w:t>
            </w:r>
            <w:r>
              <w:rPr>
                <w:rFonts w:eastAsia="仿宋_GB2312"/>
                <w:color w:val="000000"/>
                <w:szCs w:val="21"/>
              </w:rPr>
              <w:t>实际指派数）</w:t>
            </w:r>
            <w:r>
              <w:rPr>
                <w:rFonts w:eastAsia="仿宋_GB2312"/>
                <w:color w:val="000000"/>
                <w:szCs w:val="21"/>
              </w:rPr>
              <w:t>×100%</w:t>
            </w:r>
            <w:r>
              <w:rPr>
                <w:rFonts w:eastAsia="仿宋_GB2312"/>
                <w:color w:val="000000"/>
                <w:szCs w:val="21"/>
              </w:rPr>
              <w:t>。</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100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考试合格率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达到目标得权重分的</w:t>
            </w:r>
            <w:r>
              <w:rPr>
                <w:rFonts w:eastAsia="仿宋_GB2312"/>
                <w:color w:val="000000"/>
                <w:szCs w:val="21"/>
              </w:rPr>
              <w:t>100%</w:t>
            </w:r>
            <w:r>
              <w:rPr>
                <w:rFonts w:eastAsia="仿宋_GB2312"/>
                <w:color w:val="000000"/>
                <w:szCs w:val="21"/>
              </w:rPr>
              <w:t>，每下降</w:t>
            </w:r>
            <w:r>
              <w:rPr>
                <w:rFonts w:eastAsia="仿宋_GB2312"/>
                <w:color w:val="000000"/>
                <w:szCs w:val="21"/>
              </w:rPr>
              <w:t>1%</w:t>
            </w:r>
            <w:r>
              <w:rPr>
                <w:rFonts w:eastAsia="仿宋_GB2312"/>
                <w:color w:val="000000"/>
                <w:szCs w:val="21"/>
              </w:rPr>
              <w:t>扣减权重分的</w:t>
            </w:r>
            <w:r>
              <w:rPr>
                <w:rFonts w:eastAsia="仿宋_GB2312"/>
                <w:color w:val="000000"/>
                <w:szCs w:val="21"/>
              </w:rPr>
              <w:t>10%</w:t>
            </w:r>
            <w:r>
              <w:rPr>
                <w:rFonts w:eastAsia="仿宋_GB2312"/>
                <w:color w:val="000000"/>
                <w:szCs w:val="21"/>
              </w:rPr>
              <w:t>，扣完为止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考察新增执法人员考试合格情况</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90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tabs>
                <w:tab w:val="left" w:pos="413"/>
              </w:tabs>
              <w:overflowPunct w:val="0"/>
              <w:adjustRightInd w:val="0"/>
              <w:snapToGrid w:val="0"/>
              <w:rPr>
                <w:rFonts w:ascii="方正书宋_GBK" w:eastAsia="方正书宋_GBK"/>
              </w:rPr>
            </w:pPr>
            <w:r>
              <w:rPr>
                <w:rFonts w:eastAsia="仿宋_GB2312"/>
                <w:color w:val="000000"/>
                <w:szCs w:val="21"/>
              </w:rPr>
              <w:t>考试组织工作事故率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达到目标得权重分的</w:t>
            </w:r>
            <w:r>
              <w:rPr>
                <w:rFonts w:eastAsia="仿宋_GB2312"/>
                <w:color w:val="000000"/>
                <w:szCs w:val="21"/>
              </w:rPr>
              <w:t>100%</w:t>
            </w:r>
            <w:r>
              <w:rPr>
                <w:rFonts w:eastAsia="仿宋_GB2312"/>
                <w:color w:val="000000"/>
                <w:szCs w:val="21"/>
              </w:rPr>
              <w:t>，发生事故不得分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考察组织国家统一法律职业资格考试是否发生事故</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458"/>
          <w:jc w:val="center"/>
        </w:trPr>
        <w:tc>
          <w:tcPr>
            <w:tcW w:w="558" w:type="dxa"/>
            <w:vMerge/>
            <w:tcBorders>
              <w:tl2br w:val="nil"/>
              <w:tr2bl w:val="nil"/>
            </w:tcBorders>
            <w:vAlign w:val="center"/>
          </w:tcPr>
          <w:p w:rsidR="006D5C1F" w:rsidRDefault="006D5C1F">
            <w:pPr>
              <w:spacing w:line="584" w:lineRule="exact"/>
            </w:pP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人民监督员指派及时性</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按时、顺利完成得满分，未及时完成不得分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考察人民监督员指派时间的及时程度</w:t>
            </w:r>
          </w:p>
        </w:tc>
        <w:tc>
          <w:tcPr>
            <w:tcW w:w="543" w:type="dxa"/>
            <w:tcBorders>
              <w:tl2br w:val="nil"/>
              <w:tr2bl w:val="nil"/>
            </w:tcBorders>
            <w:vAlign w:val="center"/>
          </w:tcPr>
          <w:p w:rsidR="006D5C1F" w:rsidRDefault="006D5C1F">
            <w:pPr>
              <w:overflowPunct w:val="0"/>
              <w:adjustRightInd w:val="0"/>
              <w:snapToGrid w:val="0"/>
              <w:jc w:val="center"/>
              <w:rPr>
                <w:rFonts w:ascii="方正书宋_GBK" w:eastAsia="方正书宋_GBK"/>
              </w:rPr>
            </w:pP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及时</w:t>
            </w:r>
          </w:p>
        </w:tc>
        <w:tc>
          <w:tcPr>
            <w:tcW w:w="573" w:type="dxa"/>
            <w:tcBorders>
              <w:tl2br w:val="nil"/>
              <w:tr2bl w:val="nil"/>
            </w:tcBorders>
            <w:vAlign w:val="center"/>
          </w:tcPr>
          <w:p w:rsidR="006D5C1F" w:rsidRDefault="006D5C1F">
            <w:pPr>
              <w:overflowPunct w:val="0"/>
              <w:adjustRightInd w:val="0"/>
              <w:snapToGrid w:val="0"/>
              <w:jc w:val="center"/>
              <w:rPr>
                <w:rFonts w:ascii="方正书宋_GBK" w:eastAsia="方正书宋_GBK"/>
              </w:rPr>
            </w:pP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458"/>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行政复议案件指派及时性</w:t>
            </w:r>
          </w:p>
        </w:tc>
        <w:tc>
          <w:tcPr>
            <w:tcW w:w="2172" w:type="dxa"/>
            <w:tcBorders>
              <w:tl2br w:val="nil"/>
              <w:tr2bl w:val="nil"/>
            </w:tcBorders>
            <w:vAlign w:val="center"/>
          </w:tcPr>
          <w:p w:rsidR="006D5C1F" w:rsidRDefault="002F783D">
            <w:pPr>
              <w:tabs>
                <w:tab w:val="left" w:pos="457"/>
              </w:tabs>
              <w:overflowPunct w:val="0"/>
              <w:adjustRightInd w:val="0"/>
              <w:snapToGrid w:val="0"/>
              <w:rPr>
                <w:rFonts w:ascii="方正书宋_GBK" w:eastAsia="方正书宋_GBK"/>
              </w:rPr>
            </w:pPr>
            <w:r>
              <w:rPr>
                <w:rFonts w:eastAsia="仿宋_GB2312"/>
                <w:color w:val="000000"/>
                <w:szCs w:val="21"/>
              </w:rPr>
              <w:t>按时参加复议案件庭审得满分，未及时参加不得分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考察指派工作人员参加行政复议案件是否及时</w:t>
            </w:r>
          </w:p>
        </w:tc>
        <w:tc>
          <w:tcPr>
            <w:tcW w:w="543" w:type="dxa"/>
            <w:tcBorders>
              <w:tl2br w:val="nil"/>
              <w:tr2bl w:val="nil"/>
            </w:tcBorders>
            <w:vAlign w:val="center"/>
          </w:tcPr>
          <w:p w:rsidR="006D5C1F" w:rsidRDefault="006D5C1F">
            <w:pPr>
              <w:overflowPunct w:val="0"/>
              <w:adjustRightInd w:val="0"/>
              <w:snapToGrid w:val="0"/>
              <w:jc w:val="center"/>
              <w:rPr>
                <w:rFonts w:ascii="方正书宋_GBK" w:eastAsia="方正书宋_GBK"/>
              </w:rPr>
            </w:pP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及时</w:t>
            </w:r>
          </w:p>
        </w:tc>
        <w:tc>
          <w:tcPr>
            <w:tcW w:w="573" w:type="dxa"/>
            <w:tcBorders>
              <w:tl2br w:val="nil"/>
              <w:tr2bl w:val="nil"/>
            </w:tcBorders>
            <w:vAlign w:val="center"/>
          </w:tcPr>
          <w:p w:rsidR="006D5C1F" w:rsidRDefault="006D5C1F">
            <w:pPr>
              <w:overflowPunct w:val="0"/>
              <w:adjustRightInd w:val="0"/>
              <w:snapToGrid w:val="0"/>
              <w:jc w:val="center"/>
              <w:rPr>
                <w:rFonts w:ascii="方正书宋_GBK" w:eastAsia="方正书宋_GBK"/>
              </w:rPr>
            </w:pP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公用经费控制率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三</w:t>
            </w:r>
            <w:proofErr w:type="gramStart"/>
            <w:r>
              <w:rPr>
                <w:rFonts w:eastAsia="仿宋_GB2312"/>
                <w:color w:val="000000"/>
                <w:szCs w:val="21"/>
              </w:rPr>
              <w:t>公经费</w:t>
            </w:r>
            <w:proofErr w:type="gramEnd"/>
            <w:r>
              <w:rPr>
                <w:rFonts w:eastAsia="仿宋_GB2312"/>
                <w:color w:val="000000"/>
                <w:szCs w:val="21"/>
              </w:rPr>
              <w:t>实际支出数</w:t>
            </w:r>
            <w:r>
              <w:rPr>
                <w:rFonts w:eastAsia="仿宋_GB2312"/>
                <w:color w:val="000000"/>
                <w:szCs w:val="21"/>
              </w:rPr>
              <w:t>≤</w:t>
            </w:r>
            <w:r>
              <w:rPr>
                <w:rFonts w:eastAsia="仿宋_GB2312"/>
                <w:color w:val="000000"/>
                <w:szCs w:val="21"/>
              </w:rPr>
              <w:t>预算安排的三</w:t>
            </w:r>
            <w:proofErr w:type="gramStart"/>
            <w:r>
              <w:rPr>
                <w:rFonts w:eastAsia="仿宋_GB2312"/>
                <w:color w:val="000000"/>
                <w:szCs w:val="21"/>
              </w:rPr>
              <w:t>公经费数</w:t>
            </w:r>
            <w:proofErr w:type="gramEnd"/>
            <w:r>
              <w:rPr>
                <w:rFonts w:eastAsia="仿宋_GB2312"/>
                <w:color w:val="000000"/>
                <w:szCs w:val="21"/>
              </w:rPr>
              <w:t>，得权重分的</w:t>
            </w:r>
            <w:r>
              <w:rPr>
                <w:rFonts w:eastAsia="仿宋_GB2312"/>
                <w:color w:val="000000"/>
                <w:szCs w:val="21"/>
              </w:rPr>
              <w:t>50%</w:t>
            </w:r>
            <w:r>
              <w:rPr>
                <w:rFonts w:eastAsia="仿宋_GB2312"/>
                <w:color w:val="000000"/>
                <w:szCs w:val="21"/>
              </w:rPr>
              <w:t>，否则不得分；日常公用经费决算数</w:t>
            </w:r>
            <w:r>
              <w:rPr>
                <w:rFonts w:eastAsia="仿宋_GB2312"/>
                <w:color w:val="000000"/>
                <w:szCs w:val="21"/>
              </w:rPr>
              <w:t>≤</w:t>
            </w:r>
            <w:r>
              <w:rPr>
                <w:rFonts w:eastAsia="仿宋_GB2312"/>
                <w:color w:val="000000"/>
                <w:szCs w:val="21"/>
              </w:rPr>
              <w:t>日常公用经费调整预算数，得权重分的</w:t>
            </w:r>
            <w:r>
              <w:rPr>
                <w:rFonts w:eastAsia="仿宋_GB2312"/>
                <w:color w:val="000000"/>
                <w:szCs w:val="21"/>
              </w:rPr>
              <w:t>50%</w:t>
            </w:r>
            <w:r>
              <w:rPr>
                <w:rFonts w:eastAsia="仿宋_GB2312"/>
                <w:color w:val="000000"/>
                <w:szCs w:val="21"/>
              </w:rPr>
              <w:t>，否则不得分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部门本年度实际支出的公用经费总额与预算安排的公用经费总额的比率，反映和考核部门对机构运转成本的实际可控制程度。</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100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“12348”</w:t>
            </w:r>
            <w:r>
              <w:rPr>
                <w:rFonts w:eastAsia="仿宋_GB2312"/>
                <w:color w:val="000000"/>
                <w:szCs w:val="21"/>
              </w:rPr>
              <w:t>法律服务热线工作成本控制率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达到目标值得满分，每超出</w:t>
            </w:r>
            <w:r>
              <w:rPr>
                <w:rFonts w:eastAsia="仿宋_GB2312"/>
                <w:color w:val="000000"/>
                <w:szCs w:val="21"/>
              </w:rPr>
              <w:t>10%</w:t>
            </w:r>
            <w:r>
              <w:rPr>
                <w:rFonts w:eastAsia="仿宋_GB2312"/>
                <w:color w:val="000000"/>
                <w:szCs w:val="21"/>
              </w:rPr>
              <w:t>扣减</w:t>
            </w:r>
            <w:r>
              <w:rPr>
                <w:rFonts w:eastAsia="仿宋_GB2312"/>
                <w:color w:val="000000"/>
                <w:szCs w:val="21"/>
              </w:rPr>
              <w:t>10%</w:t>
            </w:r>
            <w:r>
              <w:rPr>
                <w:rFonts w:eastAsia="仿宋_GB2312"/>
                <w:color w:val="000000"/>
                <w:szCs w:val="21"/>
              </w:rPr>
              <w:t>权重分，扣完为止。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“12348”</w:t>
            </w:r>
            <w:r>
              <w:rPr>
                <w:rFonts w:eastAsia="仿宋_GB2312"/>
                <w:color w:val="000000"/>
                <w:szCs w:val="21"/>
              </w:rPr>
              <w:t>法律服务热线工作成本成本控制在预算内</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100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val="restart"/>
            <w:tcBorders>
              <w:tl2br w:val="nil"/>
              <w:tr2bl w:val="nil"/>
            </w:tcBorders>
            <w:vAlign w:val="center"/>
          </w:tcPr>
          <w:p w:rsidR="006D5C1F" w:rsidRDefault="002F783D">
            <w:pPr>
              <w:adjustRightInd w:val="0"/>
              <w:snapToGrid w:val="0"/>
              <w:spacing w:line="584" w:lineRule="exact"/>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t>社会</w:t>
            </w:r>
          </w:p>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司法鉴定机构年检率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实际值达到目标值得满分，每降低</w:t>
            </w:r>
            <w:r>
              <w:rPr>
                <w:rFonts w:eastAsia="仿宋_GB2312"/>
                <w:color w:val="000000"/>
                <w:szCs w:val="21"/>
              </w:rPr>
              <w:t>1%</w:t>
            </w:r>
            <w:r>
              <w:rPr>
                <w:rFonts w:eastAsia="仿宋_GB2312"/>
                <w:color w:val="000000"/>
                <w:szCs w:val="21"/>
              </w:rPr>
              <w:t>扣权重分的</w:t>
            </w:r>
            <w:r>
              <w:rPr>
                <w:rFonts w:eastAsia="仿宋_GB2312"/>
                <w:color w:val="000000"/>
                <w:szCs w:val="21"/>
              </w:rPr>
              <w:t>10%</w:t>
            </w:r>
            <w:r>
              <w:rPr>
                <w:rFonts w:eastAsia="仿宋_GB2312"/>
                <w:color w:val="000000"/>
                <w:szCs w:val="21"/>
              </w:rPr>
              <w:t>，扣完为止。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司法鉴定机构年检率</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100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hint="eastAsia"/>
              </w:rPr>
              <w:t>社会</w:t>
            </w:r>
          </w:p>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提升戒毒场所稳定性</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戒毒场所未发生事故得权重分值</w:t>
            </w:r>
            <w:r>
              <w:rPr>
                <w:rFonts w:eastAsia="仿宋_GB2312"/>
                <w:color w:val="000000"/>
                <w:szCs w:val="21"/>
              </w:rPr>
              <w:t>100%</w:t>
            </w:r>
            <w:r>
              <w:rPr>
                <w:rFonts w:eastAsia="仿宋_GB2312"/>
                <w:color w:val="000000"/>
                <w:szCs w:val="21"/>
              </w:rPr>
              <w:t>，发生事故不得分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lang w:bidi="ar"/>
              </w:rPr>
              <w:t>反映戒毒场所是否发生事故</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文字描述</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提升</w:t>
            </w:r>
          </w:p>
        </w:tc>
        <w:tc>
          <w:tcPr>
            <w:tcW w:w="573" w:type="dxa"/>
            <w:tcBorders>
              <w:tl2br w:val="nil"/>
              <w:tr2bl w:val="nil"/>
            </w:tcBorders>
            <w:vAlign w:val="center"/>
          </w:tcPr>
          <w:p w:rsidR="006D5C1F" w:rsidRDefault="006D5C1F">
            <w:pPr>
              <w:overflowPunct w:val="0"/>
              <w:adjustRightInd w:val="0"/>
              <w:snapToGrid w:val="0"/>
              <w:jc w:val="center"/>
              <w:rPr>
                <w:rFonts w:ascii="方正书宋_GBK" w:eastAsia="方正书宋_GBK"/>
              </w:rPr>
            </w:pP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14"/>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社区矫正人员再犯罪率</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达到目标得权重分</w:t>
            </w:r>
            <w:r>
              <w:rPr>
                <w:rFonts w:eastAsia="仿宋_GB2312"/>
                <w:color w:val="000000"/>
                <w:szCs w:val="21"/>
              </w:rPr>
              <w:t>100%</w:t>
            </w:r>
            <w:r>
              <w:rPr>
                <w:rFonts w:eastAsia="仿宋_GB2312"/>
                <w:color w:val="000000"/>
                <w:szCs w:val="21"/>
              </w:rPr>
              <w:t>，每提高</w:t>
            </w:r>
            <w:r>
              <w:rPr>
                <w:rFonts w:eastAsia="仿宋_GB2312"/>
                <w:color w:val="000000"/>
                <w:szCs w:val="21"/>
              </w:rPr>
              <w:t>0.1%</w:t>
            </w:r>
            <w:r>
              <w:rPr>
                <w:rFonts w:eastAsia="仿宋_GB2312"/>
                <w:color w:val="000000"/>
                <w:szCs w:val="21"/>
              </w:rPr>
              <w:t>扣权重分</w:t>
            </w:r>
            <w:r>
              <w:rPr>
                <w:rFonts w:eastAsia="仿宋_GB2312"/>
                <w:color w:val="000000"/>
                <w:szCs w:val="21"/>
              </w:rPr>
              <w:t>10%</w:t>
            </w:r>
            <w:r>
              <w:rPr>
                <w:rFonts w:eastAsia="仿宋_GB2312"/>
                <w:color w:val="000000"/>
                <w:szCs w:val="21"/>
              </w:rPr>
              <w:t>，扣完为止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反映全市社区</w:t>
            </w:r>
            <w:proofErr w:type="gramStart"/>
            <w:r>
              <w:rPr>
                <w:rFonts w:eastAsia="仿宋_GB2312"/>
                <w:color w:val="000000"/>
                <w:szCs w:val="21"/>
              </w:rPr>
              <w:t>矫正再</w:t>
            </w:r>
            <w:proofErr w:type="gramEnd"/>
            <w:r>
              <w:rPr>
                <w:rFonts w:eastAsia="仿宋_GB2312"/>
                <w:color w:val="000000"/>
                <w:szCs w:val="21"/>
              </w:rPr>
              <w:t>犯罪情况</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0.25</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770"/>
          <w:jc w:val="center"/>
        </w:trPr>
        <w:tc>
          <w:tcPr>
            <w:tcW w:w="558" w:type="dxa"/>
            <w:vMerge/>
            <w:tcBorders>
              <w:tl2br w:val="nil"/>
              <w:tr2bl w:val="nil"/>
            </w:tcBorders>
            <w:vAlign w:val="center"/>
          </w:tcPr>
          <w:p w:rsidR="006D5C1F" w:rsidRDefault="006D5C1F">
            <w:pPr>
              <w:spacing w:line="584" w:lineRule="exact"/>
            </w:pPr>
          </w:p>
        </w:tc>
        <w:tc>
          <w:tcPr>
            <w:tcW w:w="825" w:type="dxa"/>
            <w:vMerge w:val="restart"/>
            <w:tcBorders>
              <w:tl2br w:val="nil"/>
              <w:tr2bl w:val="nil"/>
            </w:tcBorders>
            <w:vAlign w:val="center"/>
          </w:tcPr>
          <w:p w:rsidR="006D5C1F" w:rsidRDefault="002F783D">
            <w:pPr>
              <w:widowControl/>
              <w:adjustRightInd w:val="0"/>
              <w:snapToGrid w:val="0"/>
              <w:spacing w:line="584" w:lineRule="exact"/>
              <w:jc w:val="center"/>
              <w:rPr>
                <w:rFonts w:ascii="方正书宋_GBK" w:eastAsia="方正书宋_GBK"/>
              </w:rPr>
            </w:pPr>
            <w:r>
              <w:rPr>
                <w:rFonts w:ascii="方正书宋_GBK" w:eastAsia="方正书宋_GBK" w:hint="eastAsia"/>
              </w:rPr>
              <w:t>满意度</w:t>
            </w: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机关工作人员满意度</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达到或超过目标，得权重分的</w:t>
            </w:r>
            <w:r>
              <w:rPr>
                <w:rFonts w:eastAsia="仿宋_GB2312"/>
                <w:color w:val="000000"/>
                <w:szCs w:val="21"/>
              </w:rPr>
              <w:t>100%</w:t>
            </w:r>
            <w:r>
              <w:rPr>
                <w:rFonts w:eastAsia="仿宋_GB2312"/>
                <w:color w:val="000000"/>
                <w:szCs w:val="21"/>
              </w:rPr>
              <w:t>，每降低</w:t>
            </w:r>
            <w:r>
              <w:rPr>
                <w:rFonts w:eastAsia="仿宋_GB2312"/>
                <w:color w:val="000000"/>
                <w:szCs w:val="21"/>
              </w:rPr>
              <w:t>10%</w:t>
            </w:r>
            <w:r>
              <w:rPr>
                <w:rFonts w:eastAsia="仿宋_GB2312"/>
                <w:color w:val="000000"/>
                <w:szCs w:val="21"/>
              </w:rPr>
              <w:t>，</w:t>
            </w:r>
            <w:r>
              <w:rPr>
                <w:rFonts w:eastAsia="仿宋_GB2312"/>
                <w:color w:val="000000"/>
                <w:szCs w:val="21"/>
              </w:rPr>
              <w:t>10%</w:t>
            </w:r>
            <w:r>
              <w:rPr>
                <w:rFonts w:eastAsia="仿宋_GB2312"/>
                <w:color w:val="000000"/>
                <w:szCs w:val="21"/>
              </w:rPr>
              <w:t>，按比例扣减权重分的</w:t>
            </w:r>
            <w:r>
              <w:rPr>
                <w:rFonts w:eastAsia="仿宋_GB2312"/>
                <w:color w:val="000000"/>
                <w:szCs w:val="21"/>
              </w:rPr>
              <w:t>10%</w:t>
            </w:r>
            <w:r>
              <w:rPr>
                <w:rFonts w:eastAsia="仿宋_GB2312"/>
                <w:color w:val="000000"/>
                <w:szCs w:val="21"/>
              </w:rPr>
              <w:t>，扣完为</w:t>
            </w:r>
            <w:r>
              <w:rPr>
                <w:rFonts w:eastAsia="仿宋_GB2312"/>
                <w:color w:val="000000"/>
                <w:szCs w:val="21"/>
              </w:rPr>
              <w:lastRenderedPageBreak/>
              <w:t>止。</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lastRenderedPageBreak/>
              <w:t>反映机关工作人员对司法局工作的满意度</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95</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04"/>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tabs>
                <w:tab w:val="left" w:pos="383"/>
              </w:tabs>
              <w:overflowPunct w:val="0"/>
              <w:adjustRightInd w:val="0"/>
              <w:snapToGrid w:val="0"/>
              <w:rPr>
                <w:rFonts w:ascii="方正书宋_GBK" w:eastAsia="方正书宋_GBK"/>
              </w:rPr>
            </w:pPr>
            <w:r>
              <w:rPr>
                <w:rFonts w:eastAsia="仿宋_GB2312"/>
                <w:color w:val="000000"/>
                <w:szCs w:val="21"/>
              </w:rPr>
              <w:t>对人民监督员工作满意度</w:t>
            </w:r>
          </w:p>
        </w:tc>
        <w:tc>
          <w:tcPr>
            <w:tcW w:w="2172"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检察机关对人民监督员工作全部满意得权重分值</w:t>
            </w:r>
            <w:r>
              <w:rPr>
                <w:rFonts w:eastAsia="仿宋_GB2312"/>
                <w:color w:val="000000"/>
                <w:szCs w:val="21"/>
              </w:rPr>
              <w:t>100%</w:t>
            </w:r>
            <w:r>
              <w:rPr>
                <w:rFonts w:eastAsia="仿宋_GB2312"/>
                <w:color w:val="000000"/>
                <w:szCs w:val="21"/>
              </w:rPr>
              <w:t>，出现</w:t>
            </w:r>
            <w:r>
              <w:rPr>
                <w:rFonts w:eastAsia="仿宋_GB2312"/>
                <w:color w:val="000000"/>
                <w:szCs w:val="21"/>
              </w:rPr>
              <w:t>1</w:t>
            </w:r>
            <w:r>
              <w:rPr>
                <w:rFonts w:eastAsia="仿宋_GB2312"/>
                <w:color w:val="000000"/>
                <w:szCs w:val="21"/>
              </w:rPr>
              <w:t>次不满意不得分</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反映各级检察机关对我局指派的人民监督员工作评价</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文字描述</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满意</w:t>
            </w:r>
          </w:p>
        </w:tc>
        <w:tc>
          <w:tcPr>
            <w:tcW w:w="573" w:type="dxa"/>
            <w:tcBorders>
              <w:tl2br w:val="nil"/>
              <w:tr2bl w:val="nil"/>
            </w:tcBorders>
            <w:vAlign w:val="center"/>
          </w:tcPr>
          <w:p w:rsidR="006D5C1F" w:rsidRDefault="006D5C1F">
            <w:pPr>
              <w:overflowPunct w:val="0"/>
              <w:adjustRightInd w:val="0"/>
              <w:snapToGrid w:val="0"/>
              <w:jc w:val="center"/>
              <w:rPr>
                <w:rFonts w:ascii="方正书宋_GBK" w:eastAsia="方正书宋_GBK"/>
              </w:rPr>
            </w:pP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r w:rsidR="006D5C1F">
        <w:trPr>
          <w:trHeight w:val="604"/>
          <w:jc w:val="center"/>
        </w:trPr>
        <w:tc>
          <w:tcPr>
            <w:tcW w:w="558" w:type="dxa"/>
            <w:vMerge/>
            <w:tcBorders>
              <w:tl2br w:val="nil"/>
              <w:tr2bl w:val="nil"/>
            </w:tcBorders>
            <w:vAlign w:val="center"/>
          </w:tcPr>
          <w:p w:rsidR="006D5C1F" w:rsidRDefault="006D5C1F">
            <w:pPr>
              <w:spacing w:line="584" w:lineRule="exact"/>
            </w:pPr>
          </w:p>
        </w:tc>
        <w:tc>
          <w:tcPr>
            <w:tcW w:w="825" w:type="dxa"/>
            <w:vMerge/>
            <w:tcBorders>
              <w:tl2br w:val="nil"/>
              <w:tr2bl w:val="nil"/>
            </w:tcBorders>
            <w:vAlign w:val="center"/>
          </w:tcPr>
          <w:p w:rsidR="006D5C1F" w:rsidRDefault="006D5C1F">
            <w:pPr>
              <w:widowControl/>
              <w:adjustRightInd w:val="0"/>
              <w:snapToGrid w:val="0"/>
              <w:spacing w:line="584" w:lineRule="exact"/>
              <w:jc w:val="center"/>
              <w:rPr>
                <w:rFonts w:ascii="方正书宋_GBK" w:eastAsia="方正书宋_GBK"/>
              </w:rPr>
            </w:pPr>
          </w:p>
        </w:tc>
        <w:tc>
          <w:tcPr>
            <w:tcW w:w="89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考生满意度</w:t>
            </w:r>
          </w:p>
        </w:tc>
        <w:tc>
          <w:tcPr>
            <w:tcW w:w="2172" w:type="dxa"/>
            <w:tcBorders>
              <w:tl2br w:val="nil"/>
              <w:tr2bl w:val="nil"/>
            </w:tcBorders>
            <w:vAlign w:val="center"/>
          </w:tcPr>
          <w:p w:rsidR="006D5C1F" w:rsidRDefault="002F783D">
            <w:pPr>
              <w:overflowPunct w:val="0"/>
              <w:adjustRightInd w:val="0"/>
              <w:snapToGrid w:val="0"/>
              <w:rPr>
                <w:rFonts w:eastAsia="仿宋_GB2312"/>
                <w:color w:val="000000"/>
                <w:szCs w:val="21"/>
              </w:rPr>
            </w:pPr>
            <w:r>
              <w:rPr>
                <w:rFonts w:eastAsia="仿宋_GB2312"/>
                <w:color w:val="000000"/>
                <w:szCs w:val="21"/>
              </w:rPr>
              <w:t>1.</w:t>
            </w:r>
            <w:r>
              <w:rPr>
                <w:rFonts w:eastAsia="仿宋_GB2312"/>
                <w:color w:val="000000"/>
                <w:szCs w:val="21"/>
              </w:rPr>
              <w:t>满意度达到</w:t>
            </w:r>
            <w:r>
              <w:rPr>
                <w:rFonts w:eastAsia="仿宋_GB2312"/>
                <w:color w:val="000000"/>
                <w:szCs w:val="21"/>
              </w:rPr>
              <w:t>100%</w:t>
            </w:r>
            <w:r>
              <w:rPr>
                <w:rFonts w:eastAsia="仿宋_GB2312"/>
                <w:color w:val="000000"/>
                <w:szCs w:val="21"/>
              </w:rPr>
              <w:t>得满分；</w:t>
            </w:r>
          </w:p>
          <w:p w:rsidR="006D5C1F" w:rsidRDefault="002F783D">
            <w:pPr>
              <w:overflowPunct w:val="0"/>
              <w:adjustRightInd w:val="0"/>
              <w:snapToGrid w:val="0"/>
              <w:rPr>
                <w:rFonts w:eastAsia="仿宋_GB2312"/>
                <w:color w:val="000000"/>
                <w:szCs w:val="21"/>
              </w:rPr>
            </w:pPr>
            <w:r>
              <w:rPr>
                <w:rFonts w:eastAsia="仿宋_GB2312"/>
                <w:color w:val="000000"/>
                <w:szCs w:val="21"/>
              </w:rPr>
              <w:t>2.</w:t>
            </w:r>
            <w:r>
              <w:rPr>
                <w:rFonts w:eastAsia="仿宋_GB2312"/>
                <w:color w:val="000000"/>
                <w:szCs w:val="21"/>
              </w:rPr>
              <w:t>满意度小于或等于</w:t>
            </w:r>
            <w:r>
              <w:rPr>
                <w:rFonts w:eastAsia="仿宋_GB2312"/>
                <w:color w:val="000000"/>
                <w:szCs w:val="21"/>
              </w:rPr>
              <w:t>60%</w:t>
            </w:r>
            <w:r>
              <w:rPr>
                <w:rFonts w:eastAsia="仿宋_GB2312"/>
                <w:color w:val="000000"/>
                <w:szCs w:val="21"/>
              </w:rPr>
              <w:t>的，得</w:t>
            </w:r>
            <w:r>
              <w:rPr>
                <w:rFonts w:eastAsia="仿宋_GB2312"/>
                <w:color w:val="000000"/>
                <w:szCs w:val="21"/>
              </w:rPr>
              <w:t>0</w:t>
            </w:r>
            <w:r>
              <w:rPr>
                <w:rFonts w:eastAsia="仿宋_GB2312"/>
                <w:color w:val="000000"/>
                <w:szCs w:val="21"/>
              </w:rPr>
              <w:t>分；</w:t>
            </w:r>
          </w:p>
          <w:p w:rsidR="006D5C1F" w:rsidRDefault="002F783D">
            <w:pPr>
              <w:overflowPunct w:val="0"/>
              <w:adjustRightInd w:val="0"/>
              <w:snapToGrid w:val="0"/>
              <w:rPr>
                <w:rFonts w:ascii="方正书宋_GBK" w:eastAsia="方正书宋_GBK"/>
              </w:rPr>
            </w:pPr>
            <w:r>
              <w:rPr>
                <w:rFonts w:eastAsia="仿宋_GB2312"/>
                <w:color w:val="000000"/>
                <w:szCs w:val="21"/>
              </w:rPr>
              <w:t>3.</w:t>
            </w:r>
            <w:r>
              <w:rPr>
                <w:rFonts w:eastAsia="仿宋_GB2312"/>
                <w:color w:val="000000"/>
                <w:szCs w:val="21"/>
              </w:rPr>
              <w:t>满意度在</w:t>
            </w:r>
            <w:r>
              <w:rPr>
                <w:rFonts w:eastAsia="仿宋_GB2312"/>
                <w:color w:val="000000"/>
                <w:szCs w:val="21"/>
              </w:rPr>
              <w:t>60%—99%</w:t>
            </w:r>
            <w:r>
              <w:rPr>
                <w:rFonts w:eastAsia="仿宋_GB2312"/>
                <w:color w:val="000000"/>
                <w:szCs w:val="21"/>
              </w:rPr>
              <w:t>之间的，在</w:t>
            </w:r>
            <w:r>
              <w:rPr>
                <w:rFonts w:eastAsia="仿宋_GB2312"/>
                <w:color w:val="000000"/>
                <w:szCs w:val="21"/>
              </w:rPr>
              <w:t>0</w:t>
            </w:r>
            <w:r>
              <w:rPr>
                <w:rFonts w:eastAsia="仿宋_GB2312"/>
                <w:color w:val="000000"/>
                <w:szCs w:val="21"/>
              </w:rPr>
              <w:t>分和满分之间计算确定：得分</w:t>
            </w:r>
            <w:r>
              <w:rPr>
                <w:rFonts w:eastAsia="仿宋_GB2312"/>
                <w:color w:val="000000"/>
                <w:szCs w:val="21"/>
              </w:rPr>
              <w:t>=</w:t>
            </w:r>
            <w:r>
              <w:rPr>
                <w:rFonts w:eastAsia="仿宋_GB2312"/>
                <w:color w:val="000000"/>
                <w:szCs w:val="21"/>
              </w:rPr>
              <w:t>（实际值</w:t>
            </w:r>
            <w:r>
              <w:rPr>
                <w:rFonts w:eastAsia="仿宋_GB2312"/>
                <w:color w:val="000000"/>
                <w:szCs w:val="21"/>
              </w:rPr>
              <w:t>-60%</w:t>
            </w:r>
            <w:r>
              <w:rPr>
                <w:rFonts w:eastAsia="仿宋_GB2312"/>
                <w:color w:val="000000"/>
                <w:szCs w:val="21"/>
              </w:rPr>
              <w:t>）</w:t>
            </w:r>
            <w:r>
              <w:rPr>
                <w:rFonts w:eastAsia="仿宋_GB2312"/>
                <w:color w:val="000000"/>
                <w:szCs w:val="21"/>
              </w:rPr>
              <w:t>/30%*</w:t>
            </w:r>
            <w:r>
              <w:rPr>
                <w:rFonts w:eastAsia="仿宋_GB2312"/>
                <w:color w:val="000000"/>
                <w:szCs w:val="21"/>
              </w:rPr>
              <w:t>权重</w:t>
            </w:r>
          </w:p>
        </w:tc>
        <w:tc>
          <w:tcPr>
            <w:tcW w:w="1483"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反映考生对法律职业资格考试组织工作的满意度</w:t>
            </w:r>
          </w:p>
        </w:tc>
        <w:tc>
          <w:tcPr>
            <w:tcW w:w="54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488"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100</w:t>
            </w:r>
          </w:p>
        </w:tc>
        <w:tc>
          <w:tcPr>
            <w:tcW w:w="573" w:type="dxa"/>
            <w:tcBorders>
              <w:tl2br w:val="nil"/>
              <w:tr2bl w:val="nil"/>
            </w:tcBorders>
            <w:vAlign w:val="center"/>
          </w:tcPr>
          <w:p w:rsidR="006D5C1F" w:rsidRDefault="002F783D">
            <w:pPr>
              <w:overflowPunct w:val="0"/>
              <w:adjustRightInd w:val="0"/>
              <w:snapToGrid w:val="0"/>
              <w:jc w:val="center"/>
              <w:rPr>
                <w:rFonts w:ascii="方正书宋_GBK" w:eastAsia="方正书宋_GBK"/>
              </w:rPr>
            </w:pPr>
            <w:r>
              <w:rPr>
                <w:rFonts w:eastAsia="仿宋_GB2312"/>
                <w:color w:val="000000"/>
                <w:szCs w:val="21"/>
              </w:rPr>
              <w:t>%</w:t>
            </w:r>
          </w:p>
        </w:tc>
        <w:tc>
          <w:tcPr>
            <w:tcW w:w="1277" w:type="dxa"/>
            <w:tcBorders>
              <w:tl2br w:val="nil"/>
              <w:tr2bl w:val="nil"/>
            </w:tcBorders>
            <w:vAlign w:val="center"/>
          </w:tcPr>
          <w:p w:rsidR="006D5C1F" w:rsidRDefault="002F783D">
            <w:pPr>
              <w:overflowPunct w:val="0"/>
              <w:adjustRightInd w:val="0"/>
              <w:snapToGrid w:val="0"/>
              <w:rPr>
                <w:rFonts w:ascii="方正书宋_GBK" w:eastAsia="方正书宋_GBK"/>
              </w:rPr>
            </w:pPr>
            <w:r>
              <w:rPr>
                <w:rFonts w:eastAsia="仿宋_GB2312"/>
                <w:color w:val="000000"/>
                <w:szCs w:val="21"/>
              </w:rPr>
              <w:t>工作要求</w:t>
            </w:r>
          </w:p>
        </w:tc>
      </w:tr>
    </w:tbl>
    <w:p w:rsidR="006D5C1F" w:rsidRDefault="006D5C1F">
      <w:pPr>
        <w:spacing w:line="584" w:lineRule="exact"/>
        <w:ind w:firstLineChars="200" w:firstLine="640"/>
        <w:rPr>
          <w:rFonts w:ascii="Times New Roman" w:eastAsia="黑体" w:hAnsi="黑体" w:cs="Times New Roman"/>
          <w:sz w:val="32"/>
          <w:szCs w:val="32"/>
        </w:rPr>
      </w:pPr>
    </w:p>
    <w:p w:rsidR="006D5C1F" w:rsidRDefault="006D5C1F">
      <w:pPr>
        <w:spacing w:line="584" w:lineRule="exact"/>
        <w:ind w:firstLineChars="200" w:firstLine="640"/>
        <w:rPr>
          <w:rFonts w:ascii="Times New Roman" w:eastAsia="黑体" w:hAnsi="黑体" w:cs="Times New Roman"/>
          <w:sz w:val="32"/>
          <w:szCs w:val="32"/>
        </w:rPr>
      </w:pPr>
    </w:p>
    <w:p w:rsidR="006D5C1F" w:rsidRDefault="006D5C1F">
      <w:pPr>
        <w:spacing w:line="584" w:lineRule="exact"/>
        <w:ind w:firstLineChars="200" w:firstLine="640"/>
        <w:rPr>
          <w:rFonts w:ascii="Times New Roman" w:eastAsia="黑体" w:hAnsi="黑体" w:cs="Times New Roman"/>
          <w:sz w:val="32"/>
          <w:szCs w:val="32"/>
        </w:rPr>
      </w:pPr>
    </w:p>
    <w:p w:rsidR="006D5C1F" w:rsidRDefault="006D5C1F">
      <w:pPr>
        <w:spacing w:line="584" w:lineRule="exact"/>
        <w:ind w:firstLineChars="200" w:firstLine="640"/>
        <w:rPr>
          <w:rFonts w:ascii="Times New Roman" w:eastAsia="黑体" w:hAnsi="黑体" w:cs="Times New Roman"/>
          <w:sz w:val="32"/>
          <w:szCs w:val="32"/>
        </w:rPr>
      </w:pPr>
    </w:p>
    <w:p w:rsidR="006D5C1F" w:rsidRDefault="002F783D">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第二部分资金绩效目标</w:t>
      </w:r>
    </w:p>
    <w:p w:rsidR="006D5C1F" w:rsidRDefault="002F783D">
      <w:pPr>
        <w:spacing w:line="584" w:lineRule="exact"/>
        <w:ind w:firstLineChars="200" w:firstLine="560"/>
        <w:jc w:val="left"/>
        <w:outlineLvl w:val="1"/>
        <w:rPr>
          <w:rFonts w:ascii="仿宋" w:eastAsia="仿宋" w:hAnsi="仿宋" w:cs="仿宋"/>
          <w:sz w:val="28"/>
        </w:rPr>
      </w:pPr>
      <w:r>
        <w:rPr>
          <w:rFonts w:ascii="仿宋" w:eastAsia="仿宋" w:hAnsi="仿宋" w:cs="仿宋" w:hint="eastAsia"/>
          <w:sz w:val="28"/>
        </w:rPr>
        <w:lastRenderedPageBreak/>
        <w:t>1.戒毒所工作经费绩效目标表</w:t>
      </w:r>
    </w:p>
    <w:p w:rsidR="006D5C1F" w:rsidRDefault="002F783D">
      <w:pPr>
        <w:spacing w:line="584" w:lineRule="exact"/>
        <w:ind w:firstLineChars="200" w:firstLine="420"/>
        <w:rPr>
          <w:rFonts w:ascii="Times New Roman" w:eastAsia="仿宋_GB2312" w:hAnsi="Times New Roman" w:cs="Times New Roman"/>
        </w:rPr>
      </w:pPr>
      <w:r>
        <w:rPr>
          <w:rFonts w:ascii="Times New Roman" w:eastAsia="仿宋_GB2312" w:hAnsi="Times New Roman" w:cs="Times New Roman" w:hint="eastAsia"/>
        </w:rPr>
        <w:t xml:space="preserve">  </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6D5C1F">
        <w:trPr>
          <w:trHeight w:val="397"/>
          <w:jc w:val="center"/>
        </w:trPr>
        <w:tc>
          <w:tcPr>
            <w:tcW w:w="7399" w:type="dxa"/>
            <w:tcBorders>
              <w:bottom w:val="single" w:sz="6" w:space="0" w:color="FFFFFF"/>
            </w:tcBorders>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绩效目标</w:t>
            </w:r>
          </w:p>
        </w:tc>
        <w:tc>
          <w:tcPr>
            <w:tcW w:w="7399" w:type="dxa"/>
            <w:tcBorders>
              <w:bottom w:val="single" w:sz="6" w:space="0" w:color="FFFFFF"/>
            </w:tcBorders>
            <w:vAlign w:val="center"/>
          </w:tcPr>
          <w:p w:rsidR="006D5C1F" w:rsidRDefault="002F783D">
            <w:pPr>
              <w:pStyle w:val="20"/>
              <w:rPr>
                <w:rFonts w:ascii="仿宋" w:eastAsia="仿宋" w:hAnsi="仿宋" w:cs="仿宋"/>
                <w:szCs w:val="21"/>
              </w:rPr>
            </w:pPr>
            <w:r>
              <w:rPr>
                <w:rFonts w:ascii="仿宋" w:eastAsia="仿宋" w:hAnsi="仿宋" w:cs="仿宋" w:hint="eastAsia"/>
                <w:szCs w:val="21"/>
              </w:rPr>
              <w:t>1.依法依规收治强戒人员，实现教育戒治规范化管理，最大限度提升脱瘾脱除质量，所内戒断率达100%，禁戒毒宣传教育普及率稳步提升。</w:t>
            </w:r>
          </w:p>
          <w:p w:rsidR="006D5C1F" w:rsidRDefault="006D5C1F">
            <w:pPr>
              <w:pStyle w:val="20"/>
              <w:rPr>
                <w:rFonts w:ascii="仿宋" w:eastAsia="仿宋" w:hAnsi="仿宋" w:cs="仿宋"/>
                <w:szCs w:val="21"/>
              </w:rPr>
            </w:pPr>
          </w:p>
          <w:p w:rsidR="006D5C1F" w:rsidRDefault="002F783D">
            <w:pPr>
              <w:pStyle w:val="20"/>
              <w:rPr>
                <w:rFonts w:ascii="仿宋" w:eastAsia="仿宋" w:hAnsi="仿宋" w:cs="仿宋"/>
                <w:szCs w:val="21"/>
              </w:rPr>
            </w:pPr>
            <w:r>
              <w:rPr>
                <w:rFonts w:ascii="仿宋" w:eastAsia="仿宋" w:hAnsi="仿宋" w:cs="仿宋" w:hint="eastAsia"/>
                <w:szCs w:val="21"/>
              </w:rPr>
              <w:t>2.通过项目的开展，及时对安防系统中的线路和设备进行检修，保障监控安防系统有效运行，出现安防系统故障及时排除，实现场所监控数据备份留存。</w:t>
            </w:r>
          </w:p>
          <w:p w:rsidR="006D5C1F" w:rsidRDefault="002F783D">
            <w:pPr>
              <w:pStyle w:val="20"/>
              <w:rPr>
                <w:rFonts w:ascii="仿宋" w:eastAsia="仿宋" w:hAnsi="仿宋" w:cs="仿宋"/>
                <w:szCs w:val="21"/>
              </w:rPr>
            </w:pPr>
            <w:r>
              <w:rPr>
                <w:rFonts w:ascii="仿宋" w:eastAsia="仿宋" w:hAnsi="仿宋" w:cs="仿宋" w:hint="eastAsia"/>
                <w:szCs w:val="21"/>
              </w:rPr>
              <w:t>3.确保场所水暖电供应，房屋设施设备等重点部位安全运行，场所会议保障及时到位，生活垃圾存放、清运、处置合规及时，环境卫生及美化、绿化有序开展。</w:t>
            </w:r>
          </w:p>
        </w:tc>
      </w:tr>
    </w:tbl>
    <w:p w:rsidR="006D5C1F" w:rsidRDefault="002F783D">
      <w:pPr>
        <w:spacing w:line="2" w:lineRule="exact"/>
        <w:jc w:val="center"/>
        <w:rPr>
          <w:rFonts w:ascii="仿宋" w:eastAsia="仿宋" w:hAnsi="仿宋" w:cs="仿宋"/>
          <w:szCs w:val="21"/>
        </w:rPr>
      </w:pPr>
      <w:r>
        <w:rPr>
          <w:rFonts w:ascii="仿宋" w:eastAsia="仿宋" w:hAnsi="仿宋" w:cs="仿宋" w:hint="eastAsia"/>
          <w:color w:val="000000"/>
          <w:szCs w:val="21"/>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6D5C1F">
        <w:trPr>
          <w:trHeight w:val="397"/>
          <w:tblHeader/>
          <w:jc w:val="center"/>
        </w:trPr>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一级指标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二级指标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三级指标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绩效指标描述</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指标值确定依据</w:t>
            </w:r>
          </w:p>
        </w:tc>
      </w:tr>
      <w:tr w:rsidR="006D5C1F">
        <w:trPr>
          <w:trHeight w:val="397"/>
          <w:jc w:val="center"/>
        </w:trPr>
        <w:tc>
          <w:tcPr>
            <w:tcW w:w="2466" w:type="dxa"/>
            <w:vMerge w:val="restart"/>
            <w:vAlign w:val="center"/>
          </w:tcPr>
          <w:p w:rsidR="006D5C1F" w:rsidRDefault="002F783D">
            <w:pPr>
              <w:pStyle w:val="3"/>
              <w:rPr>
                <w:rFonts w:ascii="仿宋" w:eastAsia="仿宋" w:hAnsi="仿宋" w:cs="仿宋"/>
                <w:szCs w:val="21"/>
              </w:rPr>
            </w:pPr>
            <w:r>
              <w:rPr>
                <w:rFonts w:ascii="仿宋" w:eastAsia="仿宋" w:hAnsi="仿宋" w:cs="仿宋" w:hint="eastAsia"/>
                <w:szCs w:val="21"/>
              </w:rPr>
              <w:t>产出指标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安防监控系统设备和线路检修次数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安防监控系统设备和线路检修次数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≥100次</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安防监控系统检修单</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机关办公区门卫值班登记巡检次数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机关办公区门卫值班登记巡检次数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≥200次</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机关门卫值班记录本</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公共设备正常运行天数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公共设备正常运行天数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365天</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公共设施设备故障检修台账</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垃圾清运天数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垃圾清运天数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365天</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公共部位白洁服务记录本</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质量指标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机关内部安全生产无事故率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机关内部安全生产无事故率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100%</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所领导带班日志、故障检修台账</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质量指标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设备维修合格率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设备维修合格率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100%</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设备维修记录</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时效指标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故障维修及时性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故障维修及时性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及时</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设备维修记录</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时效指标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环境净化绿化美化及时性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戒毒场所环境净化绿化美化及时性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及时</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日常保洁服务记录本</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戒毒所工作经费总成本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戒毒所工作经费总成本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30万元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支出明细</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戒毒所工作经费月均成本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戒毒所工作经费月均成本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2.5万元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支出明细</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社会效益指标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戒毒场所稳定性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通过定期检修线路设备，促进场所安全稳定</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提升</w:t>
            </w:r>
          </w:p>
        </w:tc>
        <w:tc>
          <w:tcPr>
            <w:tcW w:w="2466" w:type="dxa"/>
            <w:vAlign w:val="center"/>
          </w:tcPr>
          <w:p w:rsidR="006D5C1F" w:rsidRDefault="006D5C1F">
            <w:pPr>
              <w:pStyle w:val="20"/>
              <w:rPr>
                <w:rFonts w:ascii="仿宋" w:eastAsia="仿宋" w:hAnsi="仿宋" w:cs="仿宋"/>
                <w:szCs w:val="21"/>
              </w:rPr>
            </w:pP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服务对象满意度指标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各部门满意度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各部门满意度调查问卷</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≥90%</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各部门满意度调查问卷</w:t>
            </w:r>
          </w:p>
        </w:tc>
      </w:tr>
    </w:tbl>
    <w:p w:rsidR="006D5C1F" w:rsidRDefault="006D5C1F">
      <w:pPr>
        <w:rPr>
          <w:rFonts w:ascii="仿宋" w:eastAsia="仿宋" w:hAnsi="仿宋" w:cs="仿宋"/>
          <w:szCs w:val="21"/>
        </w:rPr>
        <w:sectPr w:rsidR="006D5C1F">
          <w:pgSz w:w="16840" w:h="11900" w:orient="landscape"/>
          <w:pgMar w:top="1440" w:right="1800" w:bottom="1440" w:left="1800" w:header="720" w:footer="720" w:gutter="0"/>
          <w:cols w:space="720"/>
        </w:sectPr>
      </w:pPr>
    </w:p>
    <w:p w:rsidR="006D5C1F" w:rsidRDefault="002F783D">
      <w:pPr>
        <w:ind w:firstLine="560"/>
        <w:jc w:val="left"/>
        <w:rPr>
          <w:rFonts w:ascii="仿宋" w:eastAsia="仿宋" w:hAnsi="仿宋" w:cs="仿宋"/>
          <w:bCs/>
          <w:sz w:val="28"/>
          <w:szCs w:val="28"/>
        </w:rPr>
      </w:pPr>
      <w:r>
        <w:rPr>
          <w:rFonts w:ascii="仿宋" w:eastAsia="仿宋" w:hAnsi="仿宋" w:cs="仿宋" w:hint="eastAsia"/>
          <w:bCs/>
          <w:color w:val="000000"/>
          <w:sz w:val="28"/>
          <w:szCs w:val="28"/>
        </w:rPr>
        <w:lastRenderedPageBreak/>
        <w:t>2、警察服装购置经费绩效目标表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6D5C1F">
        <w:trPr>
          <w:trHeight w:val="397"/>
          <w:jc w:val="center"/>
        </w:trPr>
        <w:tc>
          <w:tcPr>
            <w:tcW w:w="7399" w:type="dxa"/>
            <w:tcBorders>
              <w:bottom w:val="single" w:sz="6" w:space="0" w:color="FFFFFF"/>
            </w:tcBorders>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绩效目标</w:t>
            </w:r>
          </w:p>
        </w:tc>
        <w:tc>
          <w:tcPr>
            <w:tcW w:w="7399" w:type="dxa"/>
            <w:tcBorders>
              <w:bottom w:val="single" w:sz="6" w:space="0" w:color="FFFFFF"/>
            </w:tcBorders>
            <w:vAlign w:val="center"/>
          </w:tcPr>
          <w:p w:rsidR="006D5C1F" w:rsidRDefault="002F783D">
            <w:pPr>
              <w:pStyle w:val="20"/>
              <w:rPr>
                <w:rFonts w:ascii="仿宋" w:eastAsia="仿宋" w:hAnsi="仿宋" w:cs="仿宋"/>
                <w:szCs w:val="21"/>
              </w:rPr>
            </w:pPr>
            <w:r>
              <w:rPr>
                <w:rFonts w:ascii="仿宋" w:eastAsia="仿宋" w:hAnsi="仿宋" w:cs="仿宋" w:hint="eastAsia"/>
                <w:szCs w:val="21"/>
              </w:rPr>
              <w:t>1.通过项目的开展</w:t>
            </w:r>
            <w:proofErr w:type="gramStart"/>
            <w:r>
              <w:rPr>
                <w:rFonts w:ascii="仿宋" w:eastAsia="仿宋" w:hAnsi="仿宋" w:cs="仿宋" w:hint="eastAsia"/>
                <w:szCs w:val="21"/>
              </w:rPr>
              <w:t>,实现着装统一化</w:t>
            </w:r>
            <w:proofErr w:type="gramEnd"/>
            <w:r>
              <w:rPr>
                <w:rFonts w:ascii="仿宋" w:eastAsia="仿宋" w:hAnsi="仿宋" w:cs="仿宋" w:hint="eastAsia"/>
                <w:szCs w:val="21"/>
              </w:rPr>
              <w:t>、规范化，推进戒毒执法规范化工作。</w:t>
            </w:r>
          </w:p>
        </w:tc>
      </w:tr>
    </w:tbl>
    <w:p w:rsidR="006D5C1F" w:rsidRDefault="002F783D">
      <w:pPr>
        <w:spacing w:line="2" w:lineRule="exact"/>
        <w:jc w:val="center"/>
        <w:rPr>
          <w:rFonts w:ascii="仿宋" w:eastAsia="仿宋" w:hAnsi="仿宋" w:cs="仿宋"/>
          <w:szCs w:val="21"/>
        </w:rPr>
      </w:pPr>
      <w:r>
        <w:rPr>
          <w:rFonts w:ascii="仿宋" w:eastAsia="仿宋" w:hAnsi="仿宋" w:cs="仿宋" w:hint="eastAsia"/>
          <w:color w:val="000000"/>
          <w:szCs w:val="21"/>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6D5C1F">
        <w:trPr>
          <w:trHeight w:val="397"/>
          <w:tblHeader/>
          <w:jc w:val="center"/>
        </w:trPr>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一级指标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二级指标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三级指标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绩效指标描述</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指标值确定依据</w:t>
            </w:r>
          </w:p>
        </w:tc>
      </w:tr>
      <w:tr w:rsidR="006D5C1F">
        <w:trPr>
          <w:trHeight w:val="397"/>
          <w:jc w:val="center"/>
        </w:trPr>
        <w:tc>
          <w:tcPr>
            <w:tcW w:w="2466" w:type="dxa"/>
            <w:vMerge w:val="restart"/>
            <w:vAlign w:val="center"/>
          </w:tcPr>
          <w:p w:rsidR="006D5C1F" w:rsidRDefault="002F783D">
            <w:pPr>
              <w:pStyle w:val="3"/>
              <w:rPr>
                <w:rFonts w:ascii="仿宋" w:eastAsia="仿宋" w:hAnsi="仿宋" w:cs="仿宋"/>
                <w:szCs w:val="21"/>
              </w:rPr>
            </w:pPr>
            <w:r>
              <w:rPr>
                <w:rFonts w:ascii="仿宋" w:eastAsia="仿宋" w:hAnsi="仿宋" w:cs="仿宋" w:hint="eastAsia"/>
                <w:szCs w:val="21"/>
              </w:rPr>
              <w:t>产出指标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着装人数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民警及辅助人员</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54人</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《司法行政系统着装单位2023年度换装明细》</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质量指标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采购合格率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无破损、无污渍的合格着装数量占总采购着装数量的比重</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100%</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验收单</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时效指标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发放及时性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到货后发放及时性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及时</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服装发放表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人均成本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采购服装人均成本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0.37万元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合同、发票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总成本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采购服装总成本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19.74万元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合同、发票</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社会效益指标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塑造和树立戒毒人民警察良好形象</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执法过程中严格按照警容风纪纪律着警用被装，并严格按照规定执法</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塑造和树立戒毒人民警察良好形象</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工作安排</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服务对象满意度指标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着装人员满意度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着装人员满意度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≥95%</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着装人员满意度调查表</w:t>
            </w:r>
          </w:p>
        </w:tc>
      </w:tr>
    </w:tbl>
    <w:p w:rsidR="006D5C1F" w:rsidRDefault="006D5C1F">
      <w:pPr>
        <w:rPr>
          <w:rFonts w:ascii="仿宋" w:eastAsia="仿宋" w:hAnsi="仿宋" w:cs="仿宋"/>
          <w:szCs w:val="21"/>
        </w:rPr>
        <w:sectPr w:rsidR="006D5C1F">
          <w:pgSz w:w="16840" w:h="11900" w:orient="landscape"/>
          <w:pgMar w:top="1361" w:right="1020" w:bottom="1134" w:left="1020" w:header="720" w:footer="720" w:gutter="0"/>
          <w:cols w:space="720"/>
        </w:sectPr>
      </w:pPr>
    </w:p>
    <w:p w:rsidR="006D5C1F" w:rsidRDefault="002F783D">
      <w:pPr>
        <w:ind w:firstLine="560"/>
        <w:jc w:val="left"/>
        <w:rPr>
          <w:rFonts w:ascii="仿宋" w:eastAsia="仿宋" w:hAnsi="仿宋" w:cs="仿宋"/>
          <w:bCs/>
          <w:sz w:val="28"/>
          <w:szCs w:val="28"/>
        </w:rPr>
      </w:pPr>
      <w:r>
        <w:rPr>
          <w:rFonts w:ascii="仿宋" w:eastAsia="仿宋" w:hAnsi="仿宋" w:cs="仿宋" w:hint="eastAsia"/>
          <w:bCs/>
          <w:color w:val="000000"/>
          <w:sz w:val="28"/>
          <w:szCs w:val="28"/>
        </w:rPr>
        <w:lastRenderedPageBreak/>
        <w:t>3、人民警察值勤津贴、加班费绩效目标表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6D5C1F">
        <w:trPr>
          <w:trHeight w:val="397"/>
          <w:jc w:val="center"/>
        </w:trPr>
        <w:tc>
          <w:tcPr>
            <w:tcW w:w="7399" w:type="dxa"/>
            <w:tcBorders>
              <w:bottom w:val="single" w:sz="6" w:space="0" w:color="FFFFFF"/>
            </w:tcBorders>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绩效目标</w:t>
            </w:r>
          </w:p>
        </w:tc>
        <w:tc>
          <w:tcPr>
            <w:tcW w:w="7399" w:type="dxa"/>
            <w:tcBorders>
              <w:bottom w:val="single" w:sz="6" w:space="0" w:color="FFFFFF"/>
            </w:tcBorders>
            <w:vAlign w:val="center"/>
          </w:tcPr>
          <w:p w:rsidR="006D5C1F" w:rsidRDefault="002F783D">
            <w:pPr>
              <w:pStyle w:val="20"/>
              <w:rPr>
                <w:rFonts w:ascii="仿宋" w:eastAsia="仿宋" w:hAnsi="仿宋" w:cs="仿宋"/>
                <w:szCs w:val="21"/>
              </w:rPr>
            </w:pPr>
            <w:r>
              <w:rPr>
                <w:rFonts w:ascii="仿宋" w:eastAsia="仿宋" w:hAnsi="仿宋" w:cs="仿宋" w:hint="eastAsia"/>
                <w:szCs w:val="21"/>
              </w:rPr>
              <w:t>1.通过项目的开展如期发放人民警察值勤津贴、加班费，确保戒毒工作有序进行。</w:t>
            </w:r>
          </w:p>
        </w:tc>
      </w:tr>
    </w:tbl>
    <w:p w:rsidR="006D5C1F" w:rsidRDefault="002F783D">
      <w:pPr>
        <w:spacing w:line="2" w:lineRule="exact"/>
        <w:jc w:val="center"/>
        <w:rPr>
          <w:rFonts w:ascii="仿宋" w:eastAsia="仿宋" w:hAnsi="仿宋" w:cs="仿宋"/>
          <w:szCs w:val="21"/>
        </w:rPr>
      </w:pPr>
      <w:r>
        <w:rPr>
          <w:rFonts w:ascii="仿宋" w:eastAsia="仿宋" w:hAnsi="仿宋" w:cs="仿宋" w:hint="eastAsia"/>
          <w:color w:val="000000"/>
          <w:szCs w:val="21"/>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6D5C1F">
        <w:trPr>
          <w:trHeight w:val="397"/>
          <w:tblHeader/>
          <w:jc w:val="center"/>
        </w:trPr>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一级指标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二级指标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三级指标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绩效指标描述</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指标值确定依据</w:t>
            </w:r>
          </w:p>
        </w:tc>
      </w:tr>
      <w:tr w:rsidR="006D5C1F">
        <w:trPr>
          <w:trHeight w:val="397"/>
          <w:jc w:val="center"/>
        </w:trPr>
        <w:tc>
          <w:tcPr>
            <w:tcW w:w="2466" w:type="dxa"/>
            <w:vMerge w:val="restart"/>
            <w:vAlign w:val="center"/>
          </w:tcPr>
          <w:p w:rsidR="006D5C1F" w:rsidRDefault="002F783D">
            <w:pPr>
              <w:pStyle w:val="3"/>
              <w:rPr>
                <w:rFonts w:ascii="仿宋" w:eastAsia="仿宋" w:hAnsi="仿宋" w:cs="仿宋"/>
                <w:szCs w:val="21"/>
              </w:rPr>
            </w:pPr>
            <w:r>
              <w:rPr>
                <w:rFonts w:ascii="仿宋" w:eastAsia="仿宋" w:hAnsi="仿宋" w:cs="仿宋" w:hint="eastAsia"/>
                <w:szCs w:val="21"/>
              </w:rPr>
              <w:t>产出指标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月值勤天数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月值勤天数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22天</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人社部、财政部《关于执行人民警察值勤岗位津贴有关问题的通知》（人社部规[2017]10号）</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质量指标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在职人民警察出勤率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据实考核每名人民警察每月的出勤实际天数 出勤天数/总天数</w:t>
            </w:r>
          </w:p>
          <w:p w:rsidR="006D5C1F" w:rsidRDefault="006D5C1F">
            <w:pPr>
              <w:pStyle w:val="20"/>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100%</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干警考勤表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时效指标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津贴、加班费发放及时性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值勤津贴、加班费发放及时性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及时</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值勤津贴、加班费发放表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月均成本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值勤津贴、加班费月均发放金额</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6.62万元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干警考勤表、值勤津贴、加班费发放表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总成本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值勤津贴、加班费发放金额</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79.49万元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干警考勤表、值勤津贴、加班费发放表</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社会效益指标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促进场所安全稳定</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规范出勤考核，严格执法管理，加强值班警力配备。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稳定性提升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工作计划</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服务对象满意度指标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干警满意度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干警满意度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≥95%</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干警满意度调查问卷</w:t>
            </w:r>
          </w:p>
        </w:tc>
      </w:tr>
    </w:tbl>
    <w:p w:rsidR="006D5C1F" w:rsidRDefault="006D5C1F">
      <w:pPr>
        <w:sectPr w:rsidR="006D5C1F">
          <w:pgSz w:w="16840" w:h="11900" w:orient="landscape"/>
          <w:pgMar w:top="1361" w:right="1020" w:bottom="1134" w:left="1020" w:header="720" w:footer="720" w:gutter="0"/>
          <w:cols w:space="720"/>
        </w:sectPr>
      </w:pPr>
    </w:p>
    <w:p w:rsidR="006D5C1F" w:rsidRDefault="002F783D">
      <w:pPr>
        <w:ind w:firstLine="560"/>
        <w:jc w:val="left"/>
        <w:rPr>
          <w:bCs/>
        </w:rPr>
      </w:pPr>
      <w:r>
        <w:rPr>
          <w:rFonts w:ascii="仿宋" w:eastAsia="仿宋" w:hAnsi="仿宋" w:cs="仿宋" w:hint="eastAsia"/>
          <w:bCs/>
          <w:color w:val="000000"/>
          <w:sz w:val="28"/>
        </w:rPr>
        <w:lastRenderedPageBreak/>
        <w:t>4、三类及安全警戒岗位用工经费绩效目标表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6D5C1F">
        <w:trPr>
          <w:trHeight w:val="397"/>
          <w:jc w:val="center"/>
        </w:trPr>
        <w:tc>
          <w:tcPr>
            <w:tcW w:w="7399" w:type="dxa"/>
            <w:tcBorders>
              <w:bottom w:val="single" w:sz="6" w:space="0" w:color="FFFFFF"/>
            </w:tcBorders>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绩效目标</w:t>
            </w:r>
          </w:p>
        </w:tc>
        <w:tc>
          <w:tcPr>
            <w:tcW w:w="7399" w:type="dxa"/>
            <w:tcBorders>
              <w:bottom w:val="single" w:sz="6" w:space="0" w:color="FFFFFF"/>
            </w:tcBorders>
            <w:vAlign w:val="center"/>
          </w:tcPr>
          <w:p w:rsidR="006D5C1F" w:rsidRDefault="002F783D">
            <w:pPr>
              <w:pStyle w:val="20"/>
              <w:rPr>
                <w:rFonts w:ascii="仿宋" w:eastAsia="仿宋" w:hAnsi="仿宋" w:cs="仿宋"/>
                <w:szCs w:val="21"/>
              </w:rPr>
            </w:pPr>
            <w:r>
              <w:rPr>
                <w:rFonts w:ascii="仿宋" w:eastAsia="仿宋" w:hAnsi="仿宋" w:cs="仿宋" w:hint="eastAsia"/>
                <w:szCs w:val="21"/>
              </w:rPr>
              <w:t>1.通过项目的开展完成警戒护卫巡逻巡查工作，对周边围墙、院区重点部位进行定时巡查，实现场所安全稳定。</w:t>
            </w:r>
          </w:p>
          <w:p w:rsidR="006D5C1F" w:rsidRDefault="002F783D">
            <w:pPr>
              <w:pStyle w:val="20"/>
              <w:rPr>
                <w:rFonts w:ascii="仿宋" w:eastAsia="仿宋" w:hAnsi="仿宋" w:cs="仿宋"/>
                <w:szCs w:val="21"/>
              </w:rPr>
            </w:pPr>
            <w:r>
              <w:rPr>
                <w:rFonts w:ascii="仿宋" w:eastAsia="仿宋" w:hAnsi="仿宋" w:cs="仿宋" w:hint="eastAsia"/>
                <w:szCs w:val="21"/>
              </w:rPr>
              <w:t>2.通过项目的开展实现人防、物防、技防相辅相成，保障戒毒场所安全稳定的实现。</w:t>
            </w:r>
          </w:p>
        </w:tc>
      </w:tr>
    </w:tbl>
    <w:p w:rsidR="006D5C1F" w:rsidRDefault="002F783D">
      <w:pPr>
        <w:spacing w:line="2" w:lineRule="exact"/>
        <w:jc w:val="center"/>
        <w:rPr>
          <w:rFonts w:ascii="仿宋" w:eastAsia="仿宋" w:hAnsi="仿宋" w:cs="仿宋"/>
          <w:szCs w:val="21"/>
        </w:rPr>
      </w:pPr>
      <w:r>
        <w:rPr>
          <w:rFonts w:ascii="仿宋" w:eastAsia="仿宋" w:hAnsi="仿宋" w:cs="仿宋" w:hint="eastAsia"/>
          <w:color w:val="000000"/>
          <w:szCs w:val="21"/>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6D5C1F">
        <w:trPr>
          <w:trHeight w:val="397"/>
          <w:tblHeader/>
          <w:jc w:val="center"/>
        </w:trPr>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一级指标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二级指标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三级指标</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绩效指标描述</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w:t>
            </w:r>
          </w:p>
        </w:tc>
        <w:tc>
          <w:tcPr>
            <w:tcW w:w="2466" w:type="dxa"/>
            <w:vAlign w:val="center"/>
          </w:tcPr>
          <w:p w:rsidR="006D5C1F" w:rsidRDefault="002F783D">
            <w:pPr>
              <w:pStyle w:val="10"/>
              <w:rPr>
                <w:rFonts w:ascii="仿宋" w:eastAsia="仿宋" w:hAnsi="仿宋" w:cs="仿宋"/>
                <w:szCs w:val="21"/>
              </w:rPr>
            </w:pPr>
            <w:r>
              <w:rPr>
                <w:rFonts w:ascii="仿宋" w:eastAsia="仿宋" w:hAnsi="仿宋" w:cs="仿宋" w:hint="eastAsia"/>
                <w:szCs w:val="21"/>
              </w:rPr>
              <w:t>指标值确定依据</w:t>
            </w:r>
          </w:p>
        </w:tc>
      </w:tr>
      <w:tr w:rsidR="006D5C1F">
        <w:trPr>
          <w:trHeight w:val="397"/>
          <w:jc w:val="center"/>
        </w:trPr>
        <w:tc>
          <w:tcPr>
            <w:tcW w:w="2466" w:type="dxa"/>
            <w:vMerge w:val="restart"/>
            <w:vAlign w:val="center"/>
          </w:tcPr>
          <w:p w:rsidR="006D5C1F" w:rsidRDefault="002F783D">
            <w:pPr>
              <w:pStyle w:val="3"/>
              <w:rPr>
                <w:rFonts w:ascii="仿宋" w:eastAsia="仿宋" w:hAnsi="仿宋" w:cs="仿宋"/>
                <w:szCs w:val="21"/>
              </w:rPr>
            </w:pPr>
            <w:r>
              <w:rPr>
                <w:rFonts w:ascii="仿宋" w:eastAsia="仿宋" w:hAnsi="仿宋" w:cs="仿宋" w:hint="eastAsia"/>
                <w:szCs w:val="21"/>
              </w:rPr>
              <w:t>产出指标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警务辅助人员数量</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场所关键技术等岗位，以及安防管理等警务辅助人员具体数量</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≤20人</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《廊坊市司法局关于市劳教所招聘辅助民警管理、生产关键要害、技术辅助岗位合同制用工及所需经费的请示》《廊坊市机构编制委员会办公室关于为廊坊市强制隔离戒毒所增加安全警</w:t>
            </w:r>
            <w:r>
              <w:rPr>
                <w:rFonts w:ascii="仿宋" w:eastAsia="仿宋" w:hAnsi="仿宋" w:cs="仿宋" w:hint="eastAsia"/>
                <w:szCs w:val="21"/>
              </w:rPr>
              <w:lastRenderedPageBreak/>
              <w:t>戒岗位用工的批复》</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数量指标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报道天数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聘用人员到岗所用天数</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≤1天</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三类人员聘用合同</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质量指标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警务辅助人员出勤率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根据相关岗位特点，分别核定警务辅助人员的出勤率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100%</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三类警戒岗位用工人员考勤表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时效指标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上岗及时性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到本职工作岗位及时性</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及时</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三类及安全警戒岗位报到表</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人均成本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三类及安全警戒岗位年人均用工费用</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4.44万元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合同、支付单据</w:t>
            </w:r>
          </w:p>
        </w:tc>
      </w:tr>
      <w:tr w:rsidR="006D5C1F">
        <w:trPr>
          <w:trHeight w:val="397"/>
          <w:jc w:val="center"/>
        </w:trPr>
        <w:tc>
          <w:tcPr>
            <w:tcW w:w="2466" w:type="dxa"/>
            <w:vMerge/>
            <w:vAlign w:val="center"/>
          </w:tcPr>
          <w:p w:rsidR="006D5C1F" w:rsidRDefault="006D5C1F">
            <w:pPr>
              <w:rPr>
                <w:rFonts w:ascii="仿宋" w:eastAsia="仿宋" w:hAnsi="仿宋" w:cs="仿宋"/>
                <w:szCs w:val="21"/>
              </w:rPr>
            </w:pP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成本指标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总成本</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三类及安全警戒岗位年总用工费用</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88.8万元</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合同、支付单据</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t>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社会效益指标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促进场所安全稳定</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通过引进相关人员，保障场所有序运转，全面</w:t>
            </w:r>
            <w:r>
              <w:rPr>
                <w:rFonts w:ascii="仿宋" w:eastAsia="仿宋" w:hAnsi="仿宋" w:cs="仿宋" w:hint="eastAsia"/>
                <w:szCs w:val="21"/>
              </w:rPr>
              <w:lastRenderedPageBreak/>
              <w:t>落实场所安全管理工作</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lastRenderedPageBreak/>
              <w:t>稳定性提升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工作计划</w:t>
            </w:r>
          </w:p>
        </w:tc>
      </w:tr>
      <w:tr w:rsidR="006D5C1F">
        <w:trPr>
          <w:trHeight w:val="397"/>
          <w:jc w:val="center"/>
        </w:trPr>
        <w:tc>
          <w:tcPr>
            <w:tcW w:w="2466" w:type="dxa"/>
            <w:vAlign w:val="center"/>
          </w:tcPr>
          <w:p w:rsidR="006D5C1F" w:rsidRDefault="002F783D">
            <w:pPr>
              <w:pStyle w:val="3"/>
              <w:rPr>
                <w:rFonts w:ascii="仿宋" w:eastAsia="仿宋" w:hAnsi="仿宋" w:cs="仿宋"/>
                <w:szCs w:val="21"/>
              </w:rPr>
            </w:pPr>
            <w:r>
              <w:rPr>
                <w:rFonts w:ascii="仿宋" w:eastAsia="仿宋" w:hAnsi="仿宋" w:cs="仿宋" w:hint="eastAsia"/>
                <w:szCs w:val="21"/>
              </w:rPr>
              <w:lastRenderedPageBreak/>
              <w:t>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服务对象满意度指标</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部门满意度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各用工部门对所聘用三类人员满意度</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≥95%</w:t>
            </w:r>
          </w:p>
        </w:tc>
        <w:tc>
          <w:tcPr>
            <w:tcW w:w="2466" w:type="dxa"/>
            <w:vAlign w:val="center"/>
          </w:tcPr>
          <w:p w:rsidR="006D5C1F" w:rsidRDefault="002F783D">
            <w:pPr>
              <w:pStyle w:val="20"/>
              <w:rPr>
                <w:rFonts w:ascii="仿宋" w:eastAsia="仿宋" w:hAnsi="仿宋" w:cs="仿宋"/>
                <w:szCs w:val="21"/>
              </w:rPr>
            </w:pPr>
            <w:r>
              <w:rPr>
                <w:rFonts w:ascii="仿宋" w:eastAsia="仿宋" w:hAnsi="仿宋" w:cs="仿宋" w:hint="eastAsia"/>
                <w:szCs w:val="21"/>
              </w:rPr>
              <w:t>《各用工部门对所聘用三类人员满意度调查问卷》</w:t>
            </w:r>
          </w:p>
        </w:tc>
      </w:tr>
    </w:tbl>
    <w:p w:rsidR="006D5C1F" w:rsidRDefault="006D5C1F">
      <w:pPr>
        <w:spacing w:line="584" w:lineRule="exact"/>
        <w:ind w:firstLineChars="200" w:firstLine="420"/>
        <w:rPr>
          <w:rFonts w:ascii="Times New Roman" w:eastAsia="仿宋_GB2312" w:hAnsi="Times New Roman" w:cs="Times New Roman"/>
        </w:rPr>
      </w:pPr>
    </w:p>
    <w:p w:rsidR="006D5C1F" w:rsidRDefault="002F783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六、政府采购预算情况</w:t>
      </w:r>
    </w:p>
    <w:p w:rsidR="006D5C1F" w:rsidRDefault="002F783D">
      <w:pPr>
        <w:spacing w:line="584" w:lineRule="exact"/>
        <w:ind w:firstLineChars="200" w:firstLine="640"/>
        <w:outlineLvl w:val="0"/>
        <w:rPr>
          <w:rFonts w:ascii="Times New Roman" w:eastAsia="仿宋_GB2312" w:hAnsi="Times New Roman" w:cs="Times New Roman"/>
          <w:sz w:val="32"/>
          <w:szCs w:val="24"/>
        </w:rPr>
      </w:pPr>
      <w:bookmarkStart w:id="0"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23</w:t>
      </w:r>
      <w:r>
        <w:rPr>
          <w:rFonts w:ascii="Times New Roman" w:eastAsia="仿宋_GB2312" w:hAnsi="Times New Roman" w:cs="Times New Roman"/>
          <w:sz w:val="32"/>
          <w:szCs w:val="24"/>
        </w:rPr>
        <w:t>年，</w:t>
      </w:r>
      <w:proofErr w:type="gramStart"/>
      <w:r>
        <w:rPr>
          <w:rFonts w:ascii="Times New Roman" w:eastAsia="仿宋_GB2312" w:hAnsi="Times New Roman" w:cs="Times New Roman"/>
          <w:sz w:val="32"/>
          <w:szCs w:val="24"/>
        </w:rPr>
        <w:t>我部门</w:t>
      </w:r>
      <w:proofErr w:type="gramEnd"/>
      <w:r>
        <w:rPr>
          <w:rFonts w:ascii="Times New Roman" w:eastAsia="仿宋_GB2312" w:hAnsi="Times New Roman" w:cs="Times New Roman"/>
          <w:sz w:val="32"/>
          <w:szCs w:val="24"/>
        </w:rPr>
        <w:t>安排政府采购预算</w:t>
      </w:r>
      <w:r>
        <w:rPr>
          <w:rFonts w:ascii="Times New Roman" w:eastAsia="仿宋_GB2312" w:hAnsi="Times New Roman" w:cs="Times New Roman" w:hint="eastAsia"/>
          <w:sz w:val="32"/>
          <w:szCs w:val="24"/>
        </w:rPr>
        <w:t>44.4</w:t>
      </w:r>
      <w:r>
        <w:rPr>
          <w:rFonts w:ascii="Times New Roman" w:eastAsia="仿宋_GB2312" w:hAnsi="Times New Roman" w:cs="Times New Roman"/>
          <w:sz w:val="32"/>
          <w:szCs w:val="24"/>
        </w:rPr>
        <w:t>万元。具体内容见下表。</w:t>
      </w:r>
    </w:p>
    <w:bookmarkEnd w:id="0"/>
    <w:p w:rsidR="006D5C1F" w:rsidRDefault="006D5C1F">
      <w:pPr>
        <w:spacing w:line="584" w:lineRule="exact"/>
        <w:jc w:val="left"/>
        <w:outlineLvl w:val="0"/>
        <w:rPr>
          <w:rFonts w:ascii="Times New Roman" w:eastAsia="仿宋_GB2312" w:hAnsi="Times New Roman" w:cs="Times New Roman"/>
        </w:rPr>
      </w:pPr>
    </w:p>
    <w:p w:rsidR="006D5C1F" w:rsidRDefault="002F783D">
      <w:pPr>
        <w:spacing w:line="584" w:lineRule="exact"/>
        <w:jc w:val="center"/>
        <w:outlineLvl w:val="1"/>
        <w:rPr>
          <w:rFonts w:ascii="方正小标宋_GBK" w:eastAsia="方正小标宋_GBK" w:cs="Times New Roman"/>
          <w:sz w:val="32"/>
        </w:rPr>
      </w:pPr>
      <w:bookmarkStart w:id="1" w:name="_Toc64920910"/>
      <w:r>
        <w:rPr>
          <w:rFonts w:ascii="方正小标宋_GBK" w:eastAsia="方正小标宋_GBK" w:cs="Times New Roman" w:hint="eastAsia"/>
          <w:sz w:val="32"/>
        </w:rPr>
        <w:t>部门政府采购预算</w:t>
      </w:r>
      <w:bookmarkEnd w:id="1"/>
    </w:p>
    <w:p w:rsidR="006D5C1F" w:rsidRDefault="002F783D">
      <w:pPr>
        <w:spacing w:line="584" w:lineRule="exact"/>
        <w:outlineLvl w:val="1"/>
        <w:rPr>
          <w:rFonts w:ascii="方正小标宋_GBK" w:eastAsia="方正小标宋_GBK" w:cs="Times New Roman"/>
          <w:sz w:val="32"/>
        </w:rPr>
      </w:pPr>
      <w:r>
        <w:rPr>
          <w:rFonts w:hint="eastAsia"/>
        </w:rPr>
        <w:t>河北省廊坊市强制隔离戒毒所</w:t>
      </w:r>
      <w:r>
        <w:t xml:space="preserve">                                                                                            </w:t>
      </w:r>
      <w:r>
        <w:t>单位：万元</w:t>
      </w:r>
    </w:p>
    <w:tbl>
      <w:tblPr>
        <w:tblW w:w="154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7"/>
        <w:gridCol w:w="964"/>
        <w:gridCol w:w="1134"/>
        <w:gridCol w:w="1134"/>
        <w:gridCol w:w="709"/>
        <w:gridCol w:w="850"/>
        <w:gridCol w:w="850"/>
        <w:gridCol w:w="964"/>
        <w:gridCol w:w="964"/>
        <w:gridCol w:w="964"/>
        <w:gridCol w:w="964"/>
        <w:gridCol w:w="964"/>
        <w:gridCol w:w="964"/>
        <w:gridCol w:w="964"/>
        <w:gridCol w:w="964"/>
        <w:gridCol w:w="964"/>
      </w:tblGrid>
      <w:tr w:rsidR="006D5C1F">
        <w:trPr>
          <w:cantSplit/>
          <w:tblHeader/>
          <w:jc w:val="center"/>
        </w:trPr>
        <w:tc>
          <w:tcPr>
            <w:tcW w:w="2061" w:type="dxa"/>
            <w:gridSpan w:val="2"/>
            <w:vAlign w:val="center"/>
          </w:tcPr>
          <w:p w:rsidR="006D5C1F" w:rsidRDefault="002F783D">
            <w:pPr>
              <w:pStyle w:val="10"/>
              <w:spacing w:line="584" w:lineRule="exact"/>
            </w:pPr>
            <w:r>
              <w:t>政府采购项目来源</w:t>
            </w:r>
          </w:p>
        </w:tc>
        <w:tc>
          <w:tcPr>
            <w:tcW w:w="1134" w:type="dxa"/>
            <w:vMerge w:val="restart"/>
            <w:vAlign w:val="center"/>
          </w:tcPr>
          <w:p w:rsidR="006D5C1F" w:rsidRDefault="002F783D">
            <w:pPr>
              <w:pStyle w:val="10"/>
              <w:spacing w:line="584" w:lineRule="exact"/>
            </w:pPr>
            <w:r>
              <w:t>采购物品</w:t>
            </w:r>
            <w:r>
              <w:lastRenderedPageBreak/>
              <w:t>名称</w:t>
            </w:r>
          </w:p>
        </w:tc>
        <w:tc>
          <w:tcPr>
            <w:tcW w:w="1134" w:type="dxa"/>
            <w:vMerge w:val="restart"/>
            <w:vAlign w:val="center"/>
          </w:tcPr>
          <w:p w:rsidR="006D5C1F" w:rsidRDefault="002F783D">
            <w:pPr>
              <w:pStyle w:val="10"/>
              <w:spacing w:line="584" w:lineRule="exact"/>
            </w:pPr>
            <w:r>
              <w:lastRenderedPageBreak/>
              <w:t>政府采购</w:t>
            </w:r>
            <w:r>
              <w:lastRenderedPageBreak/>
              <w:t>目录序号</w:t>
            </w:r>
          </w:p>
        </w:tc>
        <w:tc>
          <w:tcPr>
            <w:tcW w:w="709" w:type="dxa"/>
            <w:vMerge w:val="restart"/>
            <w:vAlign w:val="center"/>
          </w:tcPr>
          <w:p w:rsidR="006D5C1F" w:rsidRDefault="002F783D">
            <w:pPr>
              <w:pStyle w:val="10"/>
              <w:spacing w:line="584" w:lineRule="exact"/>
            </w:pPr>
            <w:r>
              <w:lastRenderedPageBreak/>
              <w:t xml:space="preserve">计量  </w:t>
            </w:r>
            <w:r>
              <w:lastRenderedPageBreak/>
              <w:t>单位</w:t>
            </w:r>
          </w:p>
        </w:tc>
        <w:tc>
          <w:tcPr>
            <w:tcW w:w="850" w:type="dxa"/>
            <w:vMerge w:val="restart"/>
            <w:vAlign w:val="center"/>
          </w:tcPr>
          <w:p w:rsidR="006D5C1F" w:rsidRDefault="002F783D">
            <w:pPr>
              <w:pStyle w:val="10"/>
              <w:spacing w:line="584" w:lineRule="exact"/>
            </w:pPr>
            <w:r>
              <w:lastRenderedPageBreak/>
              <w:t>数量</w:t>
            </w:r>
          </w:p>
        </w:tc>
        <w:tc>
          <w:tcPr>
            <w:tcW w:w="850" w:type="dxa"/>
            <w:vMerge w:val="restart"/>
            <w:vAlign w:val="center"/>
          </w:tcPr>
          <w:p w:rsidR="006D5C1F" w:rsidRDefault="002F783D">
            <w:pPr>
              <w:pStyle w:val="10"/>
              <w:spacing w:line="584" w:lineRule="exact"/>
            </w:pPr>
            <w:r>
              <w:t>单价</w:t>
            </w:r>
          </w:p>
        </w:tc>
        <w:tc>
          <w:tcPr>
            <w:tcW w:w="7712" w:type="dxa"/>
            <w:gridSpan w:val="8"/>
            <w:vAlign w:val="center"/>
          </w:tcPr>
          <w:p w:rsidR="006D5C1F" w:rsidRDefault="002F783D">
            <w:pPr>
              <w:pStyle w:val="10"/>
              <w:spacing w:line="584" w:lineRule="exact"/>
            </w:pPr>
            <w:r>
              <w:t>政府采购金额（当年部门预算安排资金）</w:t>
            </w:r>
          </w:p>
        </w:tc>
        <w:tc>
          <w:tcPr>
            <w:tcW w:w="964" w:type="dxa"/>
            <w:vMerge w:val="restart"/>
            <w:vAlign w:val="center"/>
          </w:tcPr>
          <w:p w:rsidR="006D5C1F" w:rsidRDefault="002F783D">
            <w:pPr>
              <w:pStyle w:val="10"/>
              <w:spacing w:line="584" w:lineRule="exact"/>
            </w:pPr>
            <w:r>
              <w:t>202</w:t>
            </w:r>
            <w:r>
              <w:rPr>
                <w:rFonts w:eastAsiaTheme="minorEastAsia" w:hint="eastAsia"/>
                <w:lang w:eastAsia="zh-CN"/>
              </w:rPr>
              <w:t>3</w:t>
            </w:r>
            <w:r>
              <w:t xml:space="preserve">年  </w:t>
            </w:r>
            <w:r>
              <w:lastRenderedPageBreak/>
              <w:t>预留中  小微企  业份额</w:t>
            </w:r>
          </w:p>
        </w:tc>
      </w:tr>
      <w:tr w:rsidR="006D5C1F">
        <w:trPr>
          <w:cantSplit/>
          <w:tblHeader/>
          <w:jc w:val="center"/>
        </w:trPr>
        <w:tc>
          <w:tcPr>
            <w:tcW w:w="1097" w:type="dxa"/>
            <w:vAlign w:val="center"/>
          </w:tcPr>
          <w:p w:rsidR="006D5C1F" w:rsidRDefault="002F783D">
            <w:pPr>
              <w:pStyle w:val="10"/>
              <w:spacing w:line="584" w:lineRule="exact"/>
            </w:pPr>
            <w:r>
              <w:lastRenderedPageBreak/>
              <w:t>项目名称</w:t>
            </w:r>
          </w:p>
        </w:tc>
        <w:tc>
          <w:tcPr>
            <w:tcW w:w="964" w:type="dxa"/>
            <w:vAlign w:val="center"/>
          </w:tcPr>
          <w:p w:rsidR="006D5C1F" w:rsidRDefault="002F783D">
            <w:pPr>
              <w:pStyle w:val="10"/>
              <w:spacing w:line="584" w:lineRule="exact"/>
            </w:pPr>
            <w:r>
              <w:t>预算    资金</w:t>
            </w:r>
          </w:p>
        </w:tc>
        <w:tc>
          <w:tcPr>
            <w:tcW w:w="1134" w:type="dxa"/>
            <w:vMerge/>
          </w:tcPr>
          <w:p w:rsidR="006D5C1F" w:rsidRDefault="006D5C1F">
            <w:pPr>
              <w:spacing w:line="584" w:lineRule="exact"/>
            </w:pPr>
          </w:p>
        </w:tc>
        <w:tc>
          <w:tcPr>
            <w:tcW w:w="1134" w:type="dxa"/>
            <w:vMerge/>
          </w:tcPr>
          <w:p w:rsidR="006D5C1F" w:rsidRDefault="006D5C1F">
            <w:pPr>
              <w:spacing w:line="584" w:lineRule="exact"/>
            </w:pPr>
          </w:p>
        </w:tc>
        <w:tc>
          <w:tcPr>
            <w:tcW w:w="709" w:type="dxa"/>
            <w:vMerge/>
          </w:tcPr>
          <w:p w:rsidR="006D5C1F" w:rsidRDefault="006D5C1F">
            <w:pPr>
              <w:spacing w:line="584" w:lineRule="exact"/>
            </w:pPr>
          </w:p>
        </w:tc>
        <w:tc>
          <w:tcPr>
            <w:tcW w:w="850" w:type="dxa"/>
            <w:vMerge/>
          </w:tcPr>
          <w:p w:rsidR="006D5C1F" w:rsidRDefault="006D5C1F">
            <w:pPr>
              <w:spacing w:line="584" w:lineRule="exact"/>
            </w:pPr>
          </w:p>
        </w:tc>
        <w:tc>
          <w:tcPr>
            <w:tcW w:w="850" w:type="dxa"/>
            <w:vMerge/>
          </w:tcPr>
          <w:p w:rsidR="006D5C1F" w:rsidRDefault="006D5C1F">
            <w:pPr>
              <w:spacing w:line="584" w:lineRule="exact"/>
            </w:pPr>
          </w:p>
        </w:tc>
        <w:tc>
          <w:tcPr>
            <w:tcW w:w="964" w:type="dxa"/>
            <w:vAlign w:val="center"/>
          </w:tcPr>
          <w:p w:rsidR="006D5C1F" w:rsidRDefault="002F783D">
            <w:pPr>
              <w:pStyle w:val="10"/>
              <w:spacing w:line="584" w:lineRule="exact"/>
            </w:pPr>
            <w:r>
              <w:t>合计</w:t>
            </w:r>
          </w:p>
        </w:tc>
        <w:tc>
          <w:tcPr>
            <w:tcW w:w="964" w:type="dxa"/>
            <w:vAlign w:val="center"/>
          </w:tcPr>
          <w:p w:rsidR="006D5C1F" w:rsidRDefault="002F783D">
            <w:pPr>
              <w:pStyle w:val="10"/>
              <w:spacing w:line="584" w:lineRule="exact"/>
            </w:pPr>
            <w:r>
              <w:t>一般公共预算拨款</w:t>
            </w:r>
          </w:p>
        </w:tc>
        <w:tc>
          <w:tcPr>
            <w:tcW w:w="964" w:type="dxa"/>
            <w:vAlign w:val="center"/>
          </w:tcPr>
          <w:p w:rsidR="006D5C1F" w:rsidRDefault="002F783D">
            <w:pPr>
              <w:pStyle w:val="10"/>
              <w:spacing w:line="584" w:lineRule="exact"/>
            </w:pPr>
            <w:r>
              <w:t>基金预算拨款</w:t>
            </w:r>
          </w:p>
        </w:tc>
        <w:tc>
          <w:tcPr>
            <w:tcW w:w="964" w:type="dxa"/>
            <w:vAlign w:val="center"/>
          </w:tcPr>
          <w:p w:rsidR="006D5C1F" w:rsidRDefault="002F783D">
            <w:pPr>
              <w:pStyle w:val="10"/>
              <w:spacing w:line="584" w:lineRule="exact"/>
            </w:pPr>
            <w:r>
              <w:t>国有资本经营预算拨款</w:t>
            </w:r>
          </w:p>
        </w:tc>
        <w:tc>
          <w:tcPr>
            <w:tcW w:w="964" w:type="dxa"/>
            <w:vAlign w:val="center"/>
          </w:tcPr>
          <w:p w:rsidR="006D5C1F" w:rsidRDefault="002F783D">
            <w:pPr>
              <w:pStyle w:val="10"/>
              <w:spacing w:line="584" w:lineRule="exact"/>
            </w:pPr>
            <w:r>
              <w:t>财政专户核拨</w:t>
            </w:r>
          </w:p>
        </w:tc>
        <w:tc>
          <w:tcPr>
            <w:tcW w:w="964" w:type="dxa"/>
            <w:vAlign w:val="center"/>
          </w:tcPr>
          <w:p w:rsidR="006D5C1F" w:rsidRDefault="002F783D">
            <w:pPr>
              <w:pStyle w:val="10"/>
              <w:spacing w:line="584" w:lineRule="exact"/>
            </w:pPr>
            <w:r>
              <w:t>单位    资金</w:t>
            </w:r>
          </w:p>
        </w:tc>
        <w:tc>
          <w:tcPr>
            <w:tcW w:w="964" w:type="dxa"/>
            <w:vAlign w:val="center"/>
          </w:tcPr>
          <w:p w:rsidR="006D5C1F" w:rsidRDefault="002F783D">
            <w:pPr>
              <w:pStyle w:val="10"/>
              <w:spacing w:line="584" w:lineRule="exact"/>
            </w:pPr>
            <w:r>
              <w:t>财政拨    款结转</w:t>
            </w:r>
          </w:p>
        </w:tc>
        <w:tc>
          <w:tcPr>
            <w:tcW w:w="964" w:type="dxa"/>
            <w:vAlign w:val="center"/>
          </w:tcPr>
          <w:p w:rsidR="006D5C1F" w:rsidRDefault="002F783D">
            <w:pPr>
              <w:pStyle w:val="10"/>
              <w:spacing w:line="584" w:lineRule="exact"/>
            </w:pPr>
            <w:r>
              <w:t>非财政    拨款结    转结余</w:t>
            </w:r>
          </w:p>
        </w:tc>
        <w:tc>
          <w:tcPr>
            <w:tcW w:w="964" w:type="dxa"/>
            <w:vMerge/>
          </w:tcPr>
          <w:p w:rsidR="006D5C1F" w:rsidRDefault="006D5C1F">
            <w:pPr>
              <w:spacing w:line="584" w:lineRule="exact"/>
            </w:pPr>
          </w:p>
        </w:tc>
      </w:tr>
      <w:tr w:rsidR="006D5C1F">
        <w:trPr>
          <w:cantSplit/>
          <w:jc w:val="center"/>
        </w:trPr>
        <w:tc>
          <w:tcPr>
            <w:tcW w:w="1097" w:type="dxa"/>
            <w:vAlign w:val="center"/>
          </w:tcPr>
          <w:p w:rsidR="006D5C1F" w:rsidRDefault="002F783D">
            <w:pPr>
              <w:pStyle w:val="6"/>
              <w:spacing w:line="584" w:lineRule="exact"/>
            </w:pPr>
            <w:r>
              <w:lastRenderedPageBreak/>
              <w:t>合  计</w:t>
            </w:r>
          </w:p>
        </w:tc>
        <w:tc>
          <w:tcPr>
            <w:tcW w:w="964" w:type="dxa"/>
            <w:vAlign w:val="center"/>
          </w:tcPr>
          <w:p w:rsidR="006D5C1F" w:rsidRDefault="002F783D">
            <w:pPr>
              <w:pStyle w:val="7"/>
              <w:spacing w:line="584" w:lineRule="exact"/>
              <w:rPr>
                <w:lang w:eastAsia="zh-CN"/>
              </w:rPr>
            </w:pPr>
            <w:r>
              <w:rPr>
                <w:rFonts w:hint="eastAsia"/>
                <w:lang w:eastAsia="zh-CN"/>
              </w:rPr>
              <w:t>88.8</w:t>
            </w:r>
          </w:p>
        </w:tc>
        <w:tc>
          <w:tcPr>
            <w:tcW w:w="1134" w:type="dxa"/>
            <w:vAlign w:val="center"/>
          </w:tcPr>
          <w:p w:rsidR="006D5C1F" w:rsidRDefault="002F783D">
            <w:pPr>
              <w:pStyle w:val="5"/>
              <w:spacing w:line="584" w:lineRule="exact"/>
              <w:rPr>
                <w:lang w:eastAsia="zh-CN"/>
              </w:rPr>
            </w:pPr>
            <w:r>
              <w:rPr>
                <w:rFonts w:hint="eastAsia"/>
                <w:lang w:eastAsia="zh-CN"/>
              </w:rPr>
              <w:t>保安服务</w:t>
            </w:r>
          </w:p>
        </w:tc>
        <w:tc>
          <w:tcPr>
            <w:tcW w:w="1134" w:type="dxa"/>
            <w:vAlign w:val="center"/>
          </w:tcPr>
          <w:p w:rsidR="006D5C1F" w:rsidRDefault="002F783D">
            <w:pPr>
              <w:pStyle w:val="5"/>
              <w:spacing w:line="584" w:lineRule="exact"/>
              <w:rPr>
                <w:lang w:eastAsia="zh-CN"/>
              </w:rPr>
            </w:pPr>
            <w:r>
              <w:rPr>
                <w:rFonts w:hint="eastAsia"/>
                <w:lang w:eastAsia="zh-CN"/>
              </w:rPr>
              <w:t>C05040300</w:t>
            </w:r>
          </w:p>
        </w:tc>
        <w:tc>
          <w:tcPr>
            <w:tcW w:w="709" w:type="dxa"/>
            <w:vAlign w:val="center"/>
          </w:tcPr>
          <w:p w:rsidR="006D5C1F" w:rsidRDefault="002F783D">
            <w:pPr>
              <w:pStyle w:val="6"/>
              <w:spacing w:line="584" w:lineRule="exact"/>
              <w:rPr>
                <w:lang w:eastAsia="zh-CN"/>
              </w:rPr>
            </w:pPr>
            <w:r>
              <w:rPr>
                <w:rFonts w:hint="eastAsia"/>
                <w:lang w:eastAsia="zh-CN"/>
              </w:rPr>
              <w:t>人</w:t>
            </w:r>
          </w:p>
        </w:tc>
        <w:tc>
          <w:tcPr>
            <w:tcW w:w="850" w:type="dxa"/>
            <w:vAlign w:val="center"/>
          </w:tcPr>
          <w:p w:rsidR="006D5C1F" w:rsidRDefault="002F783D">
            <w:pPr>
              <w:pStyle w:val="7"/>
              <w:spacing w:line="584" w:lineRule="exact"/>
              <w:rPr>
                <w:lang w:eastAsia="zh-CN"/>
              </w:rPr>
            </w:pPr>
            <w:r>
              <w:rPr>
                <w:rFonts w:hint="eastAsia"/>
                <w:lang w:eastAsia="zh-CN"/>
              </w:rPr>
              <w:t>10</w:t>
            </w:r>
          </w:p>
        </w:tc>
        <w:tc>
          <w:tcPr>
            <w:tcW w:w="850" w:type="dxa"/>
            <w:vAlign w:val="center"/>
          </w:tcPr>
          <w:p w:rsidR="006D5C1F" w:rsidRDefault="002F783D">
            <w:pPr>
              <w:pStyle w:val="7"/>
              <w:spacing w:line="584" w:lineRule="exact"/>
              <w:rPr>
                <w:lang w:eastAsia="zh-CN"/>
              </w:rPr>
            </w:pPr>
            <w:r>
              <w:rPr>
                <w:rFonts w:hint="eastAsia"/>
                <w:lang w:eastAsia="zh-CN"/>
              </w:rPr>
              <w:t>4.44</w:t>
            </w:r>
          </w:p>
        </w:tc>
        <w:tc>
          <w:tcPr>
            <w:tcW w:w="964" w:type="dxa"/>
            <w:vAlign w:val="center"/>
          </w:tcPr>
          <w:p w:rsidR="006D5C1F" w:rsidRDefault="002F783D">
            <w:pPr>
              <w:pStyle w:val="7"/>
              <w:spacing w:line="584" w:lineRule="exact"/>
              <w:rPr>
                <w:lang w:eastAsia="zh-CN"/>
              </w:rPr>
            </w:pPr>
            <w:r>
              <w:rPr>
                <w:rFonts w:hint="eastAsia"/>
                <w:lang w:eastAsia="zh-CN"/>
              </w:rPr>
              <w:t>44.4</w:t>
            </w:r>
          </w:p>
        </w:tc>
        <w:tc>
          <w:tcPr>
            <w:tcW w:w="964" w:type="dxa"/>
            <w:vAlign w:val="center"/>
          </w:tcPr>
          <w:p w:rsidR="006D5C1F" w:rsidRDefault="002F783D">
            <w:pPr>
              <w:pStyle w:val="7"/>
              <w:spacing w:line="584" w:lineRule="exact"/>
              <w:rPr>
                <w:lang w:eastAsia="zh-CN"/>
              </w:rPr>
            </w:pPr>
            <w:r>
              <w:rPr>
                <w:rFonts w:hint="eastAsia"/>
                <w:lang w:eastAsia="zh-CN"/>
              </w:rPr>
              <w:t>44.4</w:t>
            </w:r>
          </w:p>
        </w:tc>
        <w:tc>
          <w:tcPr>
            <w:tcW w:w="964" w:type="dxa"/>
            <w:vAlign w:val="center"/>
          </w:tcPr>
          <w:p w:rsidR="006D5C1F" w:rsidRDefault="006D5C1F">
            <w:pPr>
              <w:pStyle w:val="7"/>
              <w:spacing w:line="584" w:lineRule="exact"/>
            </w:pPr>
          </w:p>
        </w:tc>
        <w:tc>
          <w:tcPr>
            <w:tcW w:w="964" w:type="dxa"/>
            <w:vAlign w:val="center"/>
          </w:tcPr>
          <w:p w:rsidR="006D5C1F" w:rsidRDefault="006D5C1F">
            <w:pPr>
              <w:pStyle w:val="7"/>
              <w:spacing w:line="584" w:lineRule="exact"/>
            </w:pPr>
          </w:p>
        </w:tc>
        <w:tc>
          <w:tcPr>
            <w:tcW w:w="964" w:type="dxa"/>
            <w:vAlign w:val="center"/>
          </w:tcPr>
          <w:p w:rsidR="006D5C1F" w:rsidRDefault="006D5C1F">
            <w:pPr>
              <w:pStyle w:val="7"/>
              <w:spacing w:line="584" w:lineRule="exact"/>
            </w:pPr>
          </w:p>
        </w:tc>
        <w:tc>
          <w:tcPr>
            <w:tcW w:w="964" w:type="dxa"/>
            <w:vAlign w:val="center"/>
          </w:tcPr>
          <w:p w:rsidR="006D5C1F" w:rsidRDefault="006D5C1F">
            <w:pPr>
              <w:pStyle w:val="7"/>
              <w:spacing w:line="584" w:lineRule="exact"/>
            </w:pPr>
          </w:p>
        </w:tc>
        <w:tc>
          <w:tcPr>
            <w:tcW w:w="964" w:type="dxa"/>
            <w:vAlign w:val="center"/>
          </w:tcPr>
          <w:p w:rsidR="006D5C1F" w:rsidRDefault="006D5C1F">
            <w:pPr>
              <w:pStyle w:val="7"/>
              <w:spacing w:line="584" w:lineRule="exact"/>
            </w:pPr>
          </w:p>
        </w:tc>
        <w:tc>
          <w:tcPr>
            <w:tcW w:w="964" w:type="dxa"/>
            <w:vAlign w:val="center"/>
          </w:tcPr>
          <w:p w:rsidR="006D5C1F" w:rsidRDefault="006D5C1F">
            <w:pPr>
              <w:pStyle w:val="7"/>
              <w:spacing w:line="584" w:lineRule="exact"/>
            </w:pPr>
          </w:p>
        </w:tc>
        <w:tc>
          <w:tcPr>
            <w:tcW w:w="964" w:type="dxa"/>
            <w:vAlign w:val="center"/>
          </w:tcPr>
          <w:p w:rsidR="006D5C1F" w:rsidRDefault="002F783D">
            <w:pPr>
              <w:pStyle w:val="7"/>
              <w:spacing w:line="584" w:lineRule="exact"/>
              <w:rPr>
                <w:lang w:eastAsia="zh-CN"/>
              </w:rPr>
            </w:pPr>
            <w:r>
              <w:rPr>
                <w:rFonts w:hint="eastAsia"/>
                <w:lang w:eastAsia="zh-CN"/>
              </w:rPr>
              <w:t>44.4</w:t>
            </w:r>
          </w:p>
        </w:tc>
      </w:tr>
    </w:tbl>
    <w:p w:rsidR="006D5C1F" w:rsidRDefault="002F783D">
      <w:pPr>
        <w:spacing w:line="584" w:lineRule="exact"/>
        <w:ind w:firstLine="420"/>
        <w:rPr>
          <w:rFonts w:ascii="方正仿宋_GBK" w:eastAsia="方正仿宋_GBK" w:hAnsi="方正仿宋_GBK" w:cs="方正仿宋_GBK"/>
          <w:color w:val="000000"/>
        </w:rPr>
      </w:pPr>
      <w:r>
        <w:rPr>
          <w:rFonts w:ascii="方正仿宋_GBK" w:eastAsia="方正仿宋_GBK" w:hAnsi="方正仿宋_GBK" w:cs="方正仿宋_GBK"/>
          <w:color w:val="000000"/>
        </w:rPr>
        <w:t>注：同一采购目录序号的物品，其单价会因配置规格不同而变动，均符合资产配置标准。涉密采购事项按照相关规定执行。</w:t>
      </w:r>
    </w:p>
    <w:p w:rsidR="006D5C1F" w:rsidRDefault="002F783D">
      <w:pPr>
        <w:spacing w:line="584" w:lineRule="exact"/>
        <w:ind w:firstLine="420"/>
        <w:rPr>
          <w:rFonts w:ascii="Times New Roman" w:eastAsia="黑体" w:hAnsi="Times New Roman" w:cs="Times New Roman"/>
          <w:sz w:val="32"/>
          <w:szCs w:val="32"/>
        </w:rPr>
      </w:pPr>
      <w:r>
        <w:rPr>
          <w:rFonts w:ascii="Times New Roman" w:eastAsia="黑体" w:hAnsi="黑体" w:cs="Times New Roman"/>
          <w:sz w:val="32"/>
          <w:szCs w:val="32"/>
        </w:rPr>
        <w:t>七、国有资产信息</w:t>
      </w:r>
    </w:p>
    <w:p w:rsidR="006D5C1F" w:rsidRDefault="002F783D">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河北省廊坊市强制隔离戒毒所</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4384.8</w:t>
      </w:r>
      <w:r w:rsidR="00666E53">
        <w:rPr>
          <w:rFonts w:ascii="Times New Roman" w:eastAsia="仿宋_GB2312" w:hAnsi="Times New Roman" w:cs="Times New Roman" w:hint="eastAsia"/>
          <w:sz w:val="32"/>
          <w:szCs w:val="32"/>
        </w:rPr>
        <w:t>9</w:t>
      </w:r>
      <w:bookmarkStart w:id="2" w:name="_GoBack"/>
      <w:bookmarkEnd w:id="2"/>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w:t>
      </w:r>
    </w:p>
    <w:p w:rsidR="006D5C1F" w:rsidRDefault="006D5C1F">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firstRow="1" w:lastRow="0" w:firstColumn="1" w:lastColumn="0" w:noHBand="0" w:noVBand="1"/>
      </w:tblPr>
      <w:tblGrid>
        <w:gridCol w:w="5224"/>
        <w:gridCol w:w="3155"/>
        <w:gridCol w:w="5103"/>
      </w:tblGrid>
      <w:tr w:rsidR="006D5C1F">
        <w:trPr>
          <w:trHeight w:val="705"/>
        </w:trPr>
        <w:tc>
          <w:tcPr>
            <w:tcW w:w="13482" w:type="dxa"/>
            <w:gridSpan w:val="3"/>
            <w:tcBorders>
              <w:top w:val="nil"/>
              <w:left w:val="nil"/>
              <w:bottom w:val="nil"/>
              <w:right w:val="nil"/>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6D5C1F">
        <w:trPr>
          <w:trHeight w:val="510"/>
        </w:trPr>
        <w:tc>
          <w:tcPr>
            <w:tcW w:w="8379" w:type="dxa"/>
            <w:gridSpan w:val="2"/>
            <w:tcBorders>
              <w:top w:val="nil"/>
              <w:left w:val="nil"/>
              <w:bottom w:val="nil"/>
              <w:right w:val="nil"/>
            </w:tcBorders>
            <w:shd w:val="clear" w:color="auto" w:fill="auto"/>
            <w:vAlign w:val="center"/>
          </w:tcPr>
          <w:p w:rsidR="006D5C1F" w:rsidRDefault="002F783D">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w:t>
            </w:r>
            <w:r>
              <w:rPr>
                <w:rFonts w:ascii="Times New Roman" w:eastAsia="仿宋_GB2312" w:hAnsi="Times New Roman" w:cs="Times New Roman" w:hint="eastAsia"/>
                <w:kern w:val="0"/>
                <w:sz w:val="22"/>
              </w:rPr>
              <w:t>河北省廊坊市强制隔离戒毒所</w:t>
            </w:r>
          </w:p>
        </w:tc>
        <w:tc>
          <w:tcPr>
            <w:tcW w:w="5103" w:type="dxa"/>
            <w:tcBorders>
              <w:top w:val="nil"/>
              <w:left w:val="nil"/>
              <w:bottom w:val="nil"/>
              <w:right w:val="nil"/>
            </w:tcBorders>
            <w:shd w:val="clear" w:color="auto" w:fill="auto"/>
            <w:vAlign w:val="center"/>
          </w:tcPr>
          <w:p w:rsidR="006D5C1F" w:rsidRDefault="002F783D">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22</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6D5C1F">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6D5C1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vAlign w:val="center"/>
          </w:tcPr>
          <w:p w:rsidR="006D5C1F" w:rsidRDefault="002F783D" w:rsidP="002B479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4384.8</w:t>
            </w:r>
            <w:r w:rsidR="002B479E">
              <w:rPr>
                <w:rFonts w:ascii="Times New Roman" w:eastAsia="仿宋_GB2312" w:hAnsi="Times New Roman" w:cs="Times New Roman" w:hint="eastAsia"/>
                <w:sz w:val="22"/>
              </w:rPr>
              <w:t>9</w:t>
            </w:r>
          </w:p>
        </w:tc>
      </w:tr>
      <w:tr w:rsidR="006D5C1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15023.24</w:t>
            </w:r>
          </w:p>
        </w:tc>
        <w:tc>
          <w:tcPr>
            <w:tcW w:w="5103"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1532.07</w:t>
            </w:r>
          </w:p>
        </w:tc>
      </w:tr>
      <w:tr w:rsidR="006D5C1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其中：办公用房（平方米）</w:t>
            </w:r>
          </w:p>
        </w:tc>
        <w:tc>
          <w:tcPr>
            <w:tcW w:w="3155"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1531</w:t>
            </w:r>
          </w:p>
        </w:tc>
        <w:tc>
          <w:tcPr>
            <w:tcW w:w="5103"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197.29</w:t>
            </w:r>
          </w:p>
        </w:tc>
      </w:tr>
      <w:tr w:rsidR="006D5C1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9</w:t>
            </w:r>
          </w:p>
        </w:tc>
        <w:tc>
          <w:tcPr>
            <w:tcW w:w="5103" w:type="dxa"/>
            <w:tcBorders>
              <w:top w:val="nil"/>
              <w:left w:val="nil"/>
              <w:bottom w:val="single" w:sz="4" w:space="0" w:color="auto"/>
              <w:right w:val="single" w:sz="4" w:space="0" w:color="auto"/>
            </w:tcBorders>
            <w:shd w:val="clear" w:color="auto" w:fill="auto"/>
            <w:vAlign w:val="center"/>
          </w:tcPr>
          <w:p w:rsidR="006D5C1F" w:rsidRDefault="002F783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154.23</w:t>
            </w:r>
          </w:p>
        </w:tc>
      </w:tr>
      <w:tr w:rsidR="006D5C1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vAlign w:val="center"/>
          </w:tcPr>
          <w:p w:rsidR="006D5C1F" w:rsidRDefault="002B479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w:t>
            </w:r>
          </w:p>
        </w:tc>
        <w:tc>
          <w:tcPr>
            <w:tcW w:w="5103" w:type="dxa"/>
            <w:tcBorders>
              <w:top w:val="nil"/>
              <w:left w:val="nil"/>
              <w:bottom w:val="single" w:sz="4" w:space="0" w:color="auto"/>
              <w:right w:val="single" w:sz="4" w:space="0" w:color="auto"/>
            </w:tcBorders>
            <w:shd w:val="clear" w:color="auto" w:fill="auto"/>
            <w:vAlign w:val="center"/>
          </w:tcPr>
          <w:p w:rsidR="006D5C1F" w:rsidRDefault="002B479E" w:rsidP="002B479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512.31</w:t>
            </w:r>
          </w:p>
        </w:tc>
      </w:tr>
      <w:tr w:rsidR="006D5C1F">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D5C1F" w:rsidRDefault="002F783D">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vAlign w:val="center"/>
          </w:tcPr>
          <w:p w:rsidR="006D5C1F" w:rsidRDefault="002B479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1201</w:t>
            </w:r>
          </w:p>
        </w:tc>
        <w:tc>
          <w:tcPr>
            <w:tcW w:w="5103" w:type="dxa"/>
            <w:tcBorders>
              <w:top w:val="nil"/>
              <w:left w:val="nil"/>
              <w:bottom w:val="single" w:sz="4" w:space="0" w:color="auto"/>
              <w:right w:val="single" w:sz="4" w:space="0" w:color="auto"/>
            </w:tcBorders>
            <w:shd w:val="clear" w:color="auto" w:fill="auto"/>
            <w:vAlign w:val="center"/>
          </w:tcPr>
          <w:p w:rsidR="006D5C1F" w:rsidRDefault="002B479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2186.28</w:t>
            </w:r>
          </w:p>
        </w:tc>
      </w:tr>
    </w:tbl>
    <w:p w:rsidR="006D5C1F" w:rsidRDefault="002F783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级财政当年拨付的资金。</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6D5C1F" w:rsidRDefault="002F783D" w:rsidP="00355271">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w:t>
      </w:r>
      <w:r>
        <w:rPr>
          <w:rFonts w:ascii="Times New Roman" w:eastAsia="仿宋_GB2312" w:hAnsi="Times New Roman" w:cs="Times New Roman"/>
          <w:sz w:val="32"/>
          <w:szCs w:val="32"/>
        </w:rPr>
        <w:lastRenderedPageBreak/>
        <w:t>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6D5C1F" w:rsidRDefault="002F783D" w:rsidP="0035527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6D5C1F" w:rsidRDefault="002F783D">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6D5C1F" w:rsidRDefault="002F783D">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p w:rsidR="006D5C1F" w:rsidRDefault="006D5C1F">
      <w:pPr>
        <w:spacing w:line="584" w:lineRule="exact"/>
        <w:rPr>
          <w:rFonts w:ascii="Times New Roman" w:eastAsia="仿宋_GB2312" w:hAnsi="Times New Roman" w:cs="Times New Roman"/>
          <w:b/>
          <w:color w:val="FF0000"/>
          <w:sz w:val="32"/>
          <w:szCs w:val="32"/>
        </w:rPr>
      </w:pPr>
    </w:p>
    <w:sectPr w:rsidR="006D5C1F">
      <w:footerReference w:type="default" r:id="rId9"/>
      <w:pgSz w:w="16838" w:h="11906" w:orient="landscape"/>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94" w:rsidRDefault="00061A94">
      <w:r>
        <w:separator/>
      </w:r>
    </w:p>
  </w:endnote>
  <w:endnote w:type="continuationSeparator" w:id="0">
    <w:p w:rsidR="00061A94" w:rsidRDefault="0006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书宋_GBK">
    <w:altName w:val="Arial Unicode MS"/>
    <w:charset w:val="86"/>
    <w:family w:val="roman"/>
    <w:pitch w:val="default"/>
    <w:sig w:usb0="00000000" w:usb1="08000000" w:usb2="00000000" w:usb3="00000000" w:csb0="00040000" w:csb1="00000000"/>
  </w:font>
  <w:font w:name="方正仿宋_GBK">
    <w:altName w:val="Arial Unicode MS"/>
    <w:charset w:val="86"/>
    <w:family w:val="script"/>
    <w:pitch w:val="default"/>
    <w:sig w:usb0="00000000" w:usb1="08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Arial Unicode MS"/>
    <w:charset w:val="86"/>
    <w:family w:val="modern"/>
    <w:pitch w:val="default"/>
    <w:sig w:usb0="00000000" w:usb1="00000000" w:usb2="00000010" w:usb3="00000000" w:csb0="00040000" w:csb1="00000000"/>
  </w:font>
  <w:font w:name="仿宋">
    <w:altName w:val="Arial Unicode MS"/>
    <w:charset w:val="86"/>
    <w:family w:val="modern"/>
    <w:pitch w:val="default"/>
    <w:sig w:usb0="00000000" w:usb1="00000000"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97"/>
    </w:sdtPr>
    <w:sdtEndPr/>
    <w:sdtContent>
      <w:p w:rsidR="006D5C1F" w:rsidRDefault="002F783D">
        <w:pPr>
          <w:pStyle w:val="a4"/>
          <w:jc w:val="center"/>
        </w:pPr>
        <w:r>
          <w:fldChar w:fldCharType="begin"/>
        </w:r>
        <w:r>
          <w:instrText xml:space="preserve"> PAGE   \* MERGEFORMAT </w:instrText>
        </w:r>
        <w:r>
          <w:fldChar w:fldCharType="separate"/>
        </w:r>
        <w:r w:rsidR="00666E53" w:rsidRPr="00666E53">
          <w:rPr>
            <w:noProof/>
            <w:lang w:val="zh-CN"/>
          </w:rPr>
          <w:t>18</w:t>
        </w:r>
        <w:r>
          <w:rPr>
            <w:lang w:val="zh-CN"/>
          </w:rPr>
          <w:fldChar w:fldCharType="end"/>
        </w:r>
      </w:p>
    </w:sdtContent>
  </w:sdt>
  <w:p w:rsidR="006D5C1F" w:rsidRDefault="006D5C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94" w:rsidRDefault="00061A94">
      <w:r>
        <w:separator/>
      </w:r>
    </w:p>
  </w:footnote>
  <w:footnote w:type="continuationSeparator" w:id="0">
    <w:p w:rsidR="00061A94" w:rsidRDefault="0006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7F97A"/>
    <w:multiLevelType w:val="singleLevel"/>
    <w:tmpl w:val="4577F97A"/>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D58D2FCB"/>
    <w:rsid w:val="000053CC"/>
    <w:rsid w:val="00005DD8"/>
    <w:rsid w:val="00007292"/>
    <w:rsid w:val="00007A31"/>
    <w:rsid w:val="0002784C"/>
    <w:rsid w:val="0003697D"/>
    <w:rsid w:val="00037AF6"/>
    <w:rsid w:val="0004565F"/>
    <w:rsid w:val="00061A94"/>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B479E"/>
    <w:rsid w:val="002C29A3"/>
    <w:rsid w:val="002C5E13"/>
    <w:rsid w:val="002C62BC"/>
    <w:rsid w:val="002E0EB8"/>
    <w:rsid w:val="002F3A53"/>
    <w:rsid w:val="002F3E58"/>
    <w:rsid w:val="002F783D"/>
    <w:rsid w:val="0030542C"/>
    <w:rsid w:val="003075D4"/>
    <w:rsid w:val="00311B7A"/>
    <w:rsid w:val="003126B6"/>
    <w:rsid w:val="00313D9C"/>
    <w:rsid w:val="00314231"/>
    <w:rsid w:val="00325215"/>
    <w:rsid w:val="0033339C"/>
    <w:rsid w:val="00355271"/>
    <w:rsid w:val="0036386B"/>
    <w:rsid w:val="00371FDA"/>
    <w:rsid w:val="0039520A"/>
    <w:rsid w:val="003A04FB"/>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4454B"/>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465EA"/>
    <w:rsid w:val="00651BA2"/>
    <w:rsid w:val="00665136"/>
    <w:rsid w:val="00666E53"/>
    <w:rsid w:val="00672D6C"/>
    <w:rsid w:val="00673D76"/>
    <w:rsid w:val="006750E7"/>
    <w:rsid w:val="00677AC3"/>
    <w:rsid w:val="006854F0"/>
    <w:rsid w:val="00694D30"/>
    <w:rsid w:val="006B1C4A"/>
    <w:rsid w:val="006B610D"/>
    <w:rsid w:val="006C3E06"/>
    <w:rsid w:val="006D010F"/>
    <w:rsid w:val="006D5C1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B7412"/>
    <w:rsid w:val="00CC75B0"/>
    <w:rsid w:val="00CD2773"/>
    <w:rsid w:val="00CD3C04"/>
    <w:rsid w:val="00CD52C7"/>
    <w:rsid w:val="00CE01BA"/>
    <w:rsid w:val="00CE143B"/>
    <w:rsid w:val="00CE3A91"/>
    <w:rsid w:val="00CF38DE"/>
    <w:rsid w:val="00D07DBA"/>
    <w:rsid w:val="00D23C16"/>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322CE"/>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15D2027"/>
    <w:rsid w:val="069A152B"/>
    <w:rsid w:val="0D392B57"/>
    <w:rsid w:val="0EB036DA"/>
    <w:rsid w:val="0F514E90"/>
    <w:rsid w:val="10BB295A"/>
    <w:rsid w:val="11091B1C"/>
    <w:rsid w:val="13180988"/>
    <w:rsid w:val="13E32453"/>
    <w:rsid w:val="165C77D5"/>
    <w:rsid w:val="19115FBA"/>
    <w:rsid w:val="1A035976"/>
    <w:rsid w:val="1ED43D5D"/>
    <w:rsid w:val="1F712961"/>
    <w:rsid w:val="1FE20805"/>
    <w:rsid w:val="20BF6B46"/>
    <w:rsid w:val="25D16F77"/>
    <w:rsid w:val="35AD4D33"/>
    <w:rsid w:val="3AF6062E"/>
    <w:rsid w:val="3E617882"/>
    <w:rsid w:val="3EE50C44"/>
    <w:rsid w:val="424B0F87"/>
    <w:rsid w:val="474C4C24"/>
    <w:rsid w:val="48FC556D"/>
    <w:rsid w:val="50BC5B7E"/>
    <w:rsid w:val="51D82C68"/>
    <w:rsid w:val="527A221A"/>
    <w:rsid w:val="52B97D15"/>
    <w:rsid w:val="56124553"/>
    <w:rsid w:val="5633416F"/>
    <w:rsid w:val="565F0B13"/>
    <w:rsid w:val="57561200"/>
    <w:rsid w:val="5C9C3794"/>
    <w:rsid w:val="5D840F7A"/>
    <w:rsid w:val="5E365022"/>
    <w:rsid w:val="61F77E99"/>
    <w:rsid w:val="65AB22B9"/>
    <w:rsid w:val="65FE25E8"/>
    <w:rsid w:val="66A37BC6"/>
    <w:rsid w:val="672E0268"/>
    <w:rsid w:val="702E01A3"/>
    <w:rsid w:val="78023151"/>
    <w:rsid w:val="7A1573EA"/>
    <w:rsid w:val="7C30275A"/>
    <w:rsid w:val="7DC63804"/>
    <w:rsid w:val="7F054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 w:type="paragraph" w:customStyle="1" w:styleId="10">
    <w:name w:val="单元格样式1"/>
    <w:basedOn w:val="a"/>
    <w:qFormat/>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pPr>
      <w:widowControl/>
      <w:jc w:val="right"/>
    </w:pPr>
    <w:rPr>
      <w:rFonts w:ascii="方正书宋_GBK" w:eastAsia="方正书宋_GBK" w:hAnsi="方正书宋_GBK" w:cs="方正书宋_GBK"/>
      <w:kern w:val="0"/>
      <w:szCs w:val="24"/>
      <w:lang w:eastAsia="uk-UA"/>
    </w:rPr>
  </w:style>
  <w:style w:type="paragraph" w:customStyle="1" w:styleId="20">
    <w:name w:val="单元格样式2"/>
    <w:basedOn w:val="a"/>
    <w:qFormat/>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职责分类绩效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实现年度发展规划目标的保障措施文件"/>
    <w:basedOn w:val="a"/>
    <w:qFormat/>
    <w:pPr>
      <w:spacing w:line="500" w:lineRule="exact"/>
      <w:ind w:firstLine="560"/>
      <w:jc w:val="left"/>
    </w:pPr>
    <w:rPr>
      <w:rFonts w:ascii="Times New Roman" w:eastAsia="方正仿宋_GBK"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1102</Words>
  <Characters>6282</Characters>
  <Application>Microsoft Office Word</Application>
  <DocSecurity>0</DocSecurity>
  <Lines>52</Lines>
  <Paragraphs>14</Paragraphs>
  <ScaleCrop>false</ScaleCrop>
  <Company>Microsoft</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110</cp:revision>
  <cp:lastPrinted>2023-01-29T09:01:00Z</cp:lastPrinted>
  <dcterms:created xsi:type="dcterms:W3CDTF">2020-01-13T11:27:00Z</dcterms:created>
  <dcterms:modified xsi:type="dcterms:W3CDTF">2023-01-18T06:44:00Z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