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廊坊市司法局2023年部门预算信息公开情况说明</w:t>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按照《中华人民共和国预算法》、《中华人民共和国预算法实施条例》、《地方预决算公开操作规程》和《河北省省级预算公开办法》规定，现将廊坊市司法局2023年部门预算公开如下：</w:t>
      </w:r>
    </w:p>
    <w:p>
      <w:pPr>
        <w:spacing w:before="10" w:after="10" w:line="360" w:lineRule="auto"/>
        <w:ind w:firstLine="640"/>
        <w:jc w:val="left"/>
        <w:outlineLvl w:val="2"/>
        <w:rPr>
          <w:sz w:val="32"/>
          <w:szCs w:val="32"/>
        </w:rPr>
      </w:pPr>
      <w:bookmarkStart w:id="0" w:name="_Toc_3_3_0000000010"/>
      <w:r>
        <w:rPr>
          <w:rFonts w:ascii="黑体" w:hAnsi="黑体" w:eastAsia="黑体" w:cs="黑体"/>
          <w:color w:val="000000"/>
          <w:sz w:val="32"/>
          <w:szCs w:val="32"/>
        </w:rPr>
        <w:t>一、部门职责及机构设置情况</w:t>
      </w:r>
      <w:bookmarkEnd w:id="0"/>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廊坊市司法局负责贯彻落实党中央和省委、市委关于全面依法治市的方针政策和决策部署，在履行职责过程中坚持和加强党对全面依法治市的集中统一领导。主要职责是:</w:t>
      </w:r>
    </w:p>
    <w:p>
      <w:pPr>
        <w:pStyle w:val="19"/>
      </w:pPr>
      <w:r>
        <w:t>（一）承担全面依法治市重大问题的政策研究。组织协调有关方面提出全面依法治市中长期规划建议，负责有关重大决策部署督察工作。</w:t>
      </w:r>
    </w:p>
    <w:p>
      <w:pPr>
        <w:pStyle w:val="19"/>
      </w:pPr>
      <w:r>
        <w:t>（二）承担统筹规划地方立法工作的责任。组织协调有关方面提出立法规划和年度立法工作计划的建议；负责跟踪了解各部门对立法工作计划的落实情况；加强组织协调和督促指导，研究提出立法与改革决策相衔接的意见、措施。参与面向社会征集地方性法规制定项目的建议，负责面向社会征集政府规章草案制定项目的建议。</w:t>
      </w:r>
    </w:p>
    <w:p>
      <w:pPr>
        <w:pStyle w:val="19"/>
      </w:pPr>
      <w:r>
        <w:t>（三）负责起草或组织起草有关地方性法规和政府规章草案。承办各部门报送市政府的地方性法规和政府规章草案的审查工作；负责市政府规章立法解释草案的起草、立法后评估工作；负责立法协调，组织开展政府规章清理工作。</w:t>
      </w:r>
    </w:p>
    <w:p>
      <w:pPr>
        <w:pStyle w:val="19"/>
      </w:pPr>
      <w:r>
        <w:t>（四）负责市政府各部门、各县（市、区)政府规范性文件的备案审查工作。负责对市政府政策措施、规范性文件和合同协议的合法性审核工作；承办市政府交办的涉法事务；承办市政府规章、规范性文件上报国务院、省人大常委会、省政府和市人大常委会备案工作；负责市政府规章的编纂工作。</w:t>
      </w:r>
    </w:p>
    <w:p>
      <w:pPr>
        <w:pStyle w:val="19"/>
      </w:pPr>
      <w:r>
        <w:t>（五）承担统筹推进廊坊法治政府建设的责任。指导、监督市政府各部门、地方各级政府依法行政工作；负责综合协调行政执法工作；承担推进行政执法体制改革有关工作；推进严格规范公正文明执法。依法承办行政复议案件；受市政府委托，代理行政诉讼案件的应诉；指导、监督全市行政复议和行政应诉工作。</w:t>
      </w:r>
    </w:p>
    <w:p>
      <w:pPr>
        <w:pStyle w:val="19"/>
      </w:pPr>
      <w:r>
        <w:t>（六）承担统筹规划全市法治社会建设的责任。负责拟订全市法治宣传教育规划，组织实施普法宣传工作；推动全市人民参与和促进法治建设；指导全市依法治理和法治创建工作；指导全市调解工作，负责和指导全市人民陪审员、人民监督员选任管理工作；负责全市司法所建设。</w:t>
      </w:r>
    </w:p>
    <w:p>
      <w:pPr>
        <w:pStyle w:val="19"/>
      </w:pPr>
      <w:r>
        <w:t>（七）负责全市司法行政戒毒场所管理工作。指导、监督本系统强制隔离戒毒执行和戒毒康复工作；对全市社区戒毒和社区康复工作提供指导、支持和协助。负责全市社区矫正工作；负责全市刑满释放人员帮教安置工作。</w:t>
      </w:r>
    </w:p>
    <w:p>
      <w:pPr>
        <w:pStyle w:val="19"/>
      </w:pPr>
      <w:r>
        <w:t>（八）负责制定全市公共法律服务体系建设规划并指导实施，统筹和布局城乡、区域法律服务资源。负责全市律师、公证、法律援助、司法鉴定和基层法律服务管理工作。</w:t>
      </w:r>
    </w:p>
    <w:p>
      <w:pPr>
        <w:pStyle w:val="19"/>
      </w:pPr>
      <w:r>
        <w:t>（九）负责全市国家统一法律职业资格考试的组织实施工作。负责国家统一法律职业资格和证书管理工作；负责规划和指导全市法律职业人员入职前培训工作。</w:t>
      </w:r>
    </w:p>
    <w:p>
      <w:pPr>
        <w:pStyle w:val="19"/>
      </w:pPr>
      <w:r>
        <w:t>（十）负责本系统枪支、弹药、服装和警车等物资装备管理工作；指导、监督本系统财务、装备、设施、场所等保障工作。</w:t>
      </w:r>
    </w:p>
    <w:p>
      <w:pPr>
        <w:pStyle w:val="19"/>
      </w:pPr>
      <w:r>
        <w:t>(十一)规划、协调、指导全市法治人才队伍建设相关工作。指导、监督本系统队伍建设；负责本系统警务管理和警务督察工作。协助各县（市、区）管理司法局领导干部。</w:t>
      </w:r>
    </w:p>
    <w:p>
      <w:pPr>
        <w:pStyle w:val="19"/>
      </w:pPr>
      <w:r>
        <w:t>(十二)完成市委、市政府交办的其他任务。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廊坊市司法局本级</w:t>
            </w:r>
          </w:p>
        </w:tc>
        <w:tc>
          <w:tcPr>
            <w:tcW w:w="1843" w:type="dxa"/>
            <w:vAlign w:val="center"/>
          </w:tcPr>
          <w:p>
            <w:pPr>
              <w:pStyle w:val="15"/>
            </w:pPr>
            <w:r>
              <w:t>行政</w:t>
            </w:r>
          </w:p>
        </w:tc>
        <w:tc>
          <w:tcPr>
            <w:tcW w:w="2126" w:type="dxa"/>
            <w:vAlign w:val="center"/>
          </w:tcPr>
          <w:p>
            <w:pPr>
              <w:pStyle w:val="15"/>
            </w:pPr>
            <w:r>
              <w:t>正处级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河北省廊坊市强制隔离戒毒所</w:t>
            </w:r>
          </w:p>
        </w:tc>
        <w:tc>
          <w:tcPr>
            <w:tcW w:w="1843" w:type="dxa"/>
            <w:vAlign w:val="center"/>
          </w:tcPr>
          <w:p>
            <w:pPr>
              <w:pStyle w:val="15"/>
            </w:pPr>
            <w:r>
              <w:t>行政</w:t>
            </w:r>
          </w:p>
        </w:tc>
        <w:tc>
          <w:tcPr>
            <w:tcW w:w="2126" w:type="dxa"/>
            <w:vAlign w:val="center"/>
          </w:tcPr>
          <w:p>
            <w:pPr>
              <w:pStyle w:val="15"/>
            </w:pPr>
            <w:r>
              <w:t>副处级</w:t>
            </w:r>
          </w:p>
        </w:tc>
        <w:tc>
          <w:tcPr>
            <w:tcW w:w="3827" w:type="dxa"/>
            <w:vAlign w:val="center"/>
          </w:tcPr>
          <w:p>
            <w:pPr>
              <w:pStyle w:val="15"/>
            </w:pPr>
            <w:r>
              <w:t>财政拨款</w:t>
            </w:r>
          </w:p>
        </w:tc>
      </w:tr>
    </w:tbl>
    <w:p>
      <w:pPr>
        <w:spacing w:before="10" w:after="10" w:line="360" w:lineRule="auto"/>
        <w:ind w:firstLine="640"/>
        <w:jc w:val="left"/>
        <w:outlineLvl w:val="2"/>
        <w:rPr>
          <w:sz w:val="32"/>
          <w:szCs w:val="32"/>
        </w:rPr>
      </w:pPr>
      <w:bookmarkStart w:id="1" w:name="_Toc_3_3_0000000011"/>
      <w:r>
        <w:rPr>
          <w:rFonts w:ascii="黑体" w:hAnsi="黑体" w:eastAsia="黑体" w:cs="黑体"/>
          <w:color w:val="000000"/>
          <w:sz w:val="32"/>
          <w:szCs w:val="32"/>
        </w:rPr>
        <w:t>二、部门预算安排的总体情况</w:t>
      </w:r>
      <w:bookmarkEnd w:id="1"/>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ascii="Times New Roman" w:hAnsi="Times New Roman" w:eastAsia="仿宋_GB2312" w:cs="Times New Roman"/>
          <w:sz w:val="32"/>
          <w:szCs w:val="32"/>
        </w:rPr>
        <w:t>市</w:t>
      </w:r>
      <w:r>
        <w:rPr>
          <w:rFonts w:ascii="Times New Roman" w:hAnsi="Times New Roman" w:eastAsia="方正仿宋_GBK" w:cs="Times New Roman"/>
          <w:color w:val="000000"/>
          <w:sz w:val="28"/>
        </w:rPr>
        <w:t>部门预算的编制实行综合预算管理，即全部收入和支出都反映在预算中。廊坊市司法局机关及所属事业单位的收支包含在部门预算中。</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1、收入说明</w:t>
      </w:r>
    </w:p>
    <w:p>
      <w:pPr>
        <w:spacing w:before="0" w:after="0" w:line="500" w:lineRule="exact"/>
        <w:ind w:firstLine="560"/>
        <w:jc w:val="left"/>
        <w:outlineLvl w:val="9"/>
        <w:rPr>
          <w:rFonts w:hint="default" w:ascii="Times New Roman" w:hAnsi="Times New Roman" w:eastAsia="方正仿宋_GBK" w:cs="Times New Roman"/>
          <w:color w:val="000000"/>
          <w:sz w:val="28"/>
          <w:lang w:val="en-US" w:eastAsia="zh-CN"/>
        </w:rPr>
      </w:pPr>
      <w:r>
        <w:rPr>
          <w:rFonts w:ascii="Times New Roman" w:hAnsi="Times New Roman" w:eastAsia="方正仿宋_GBK" w:cs="Times New Roman"/>
          <w:color w:val="000000"/>
          <w:sz w:val="28"/>
        </w:rPr>
        <w:t>反映本部门当年全部收入。</w:t>
      </w:r>
      <w:r>
        <w:rPr>
          <w:rFonts w:hint="eastAsia" w:ascii="Times New Roman" w:hAnsi="Times New Roman" w:eastAsia="方正仿宋_GBK" w:cs="Times New Roman"/>
          <w:color w:val="000000"/>
          <w:sz w:val="28"/>
          <w:lang w:val="en-US" w:eastAsia="zh-CN"/>
        </w:rPr>
        <w:t>2023</w:t>
      </w:r>
      <w:r>
        <w:rPr>
          <w:rFonts w:ascii="Times New Roman" w:hAnsi="Times New Roman" w:eastAsia="方正仿宋_GBK" w:cs="Times New Roman"/>
          <w:color w:val="000000"/>
          <w:sz w:val="28"/>
        </w:rPr>
        <w:t>年预算收入</w:t>
      </w:r>
      <w:r>
        <w:rPr>
          <w:rFonts w:hint="eastAsia" w:ascii="Times New Roman" w:hAnsi="Times New Roman" w:eastAsia="方正仿宋_GBK" w:cs="Times New Roman"/>
          <w:color w:val="000000"/>
          <w:sz w:val="28"/>
          <w:lang w:val="en-US" w:eastAsia="zh-CN"/>
        </w:rPr>
        <w:t>4277.75</w:t>
      </w:r>
      <w:r>
        <w:rPr>
          <w:rFonts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lang w:val="en-US" w:eastAsia="zh-CN"/>
        </w:rPr>
        <w:t>4157.97</w:t>
      </w:r>
      <w:r>
        <w:rPr>
          <w:rFonts w:ascii="Times New Roman" w:hAnsi="Times New Roman" w:eastAsia="方正仿宋_GBK" w:cs="Times New Roman"/>
          <w:color w:val="000000"/>
          <w:sz w:val="28"/>
        </w:rPr>
        <w:t>万元，基金预算收入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万元，财政专户核拨收入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万元，其他来源收入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，上年结转</w:t>
      </w:r>
      <w:r>
        <w:rPr>
          <w:rFonts w:hint="eastAsia" w:ascii="Times New Roman" w:hAnsi="Times New Roman" w:eastAsia="方正仿宋_GBK" w:cs="Times New Roman"/>
          <w:color w:val="000000"/>
          <w:sz w:val="28"/>
          <w:lang w:val="en-US" w:eastAsia="zh-CN"/>
        </w:rPr>
        <w:t>119.78万元。</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2、</w:t>
      </w:r>
      <w:r>
        <w:rPr>
          <w:rFonts w:ascii="方正楷体_GBK" w:hAnsi="方正楷体_GBK" w:eastAsia="方正楷体_GBK" w:cs="方正楷体_GBK"/>
          <w:b/>
          <w:color w:val="000000"/>
          <w:sz w:val="32"/>
        </w:rPr>
        <w:t>支出说明</w:t>
      </w:r>
    </w:p>
    <w:p>
      <w:pPr>
        <w:numPr>
          <w:ilvl w:val="0"/>
          <w:numId w:val="0"/>
        </w:numPr>
        <w:spacing w:before="0" w:after="0" w:line="500" w:lineRule="exact"/>
        <w:ind w:firstLine="560" w:firstLineChars="200"/>
        <w:jc w:val="left"/>
        <w:outlineLvl w:val="9"/>
        <w:rPr>
          <w:rFonts w:hint="eastAsia" w:ascii="Times New Roman" w:hAnsi="Times New Roman" w:eastAsia="方正仿宋_GBK" w:cs="Times New Roman"/>
          <w:color w:val="000000"/>
          <w:sz w:val="28"/>
          <w:lang w:val="en-US" w:eastAsia="zh-CN"/>
        </w:rPr>
      </w:pPr>
      <w:r>
        <w:rPr>
          <w:rFonts w:ascii="Times New Roman" w:hAnsi="Times New Roman" w:eastAsia="方正仿宋_GBK" w:cs="Times New Roman"/>
          <w:color w:val="000000"/>
          <w:sz w:val="28"/>
        </w:rPr>
        <w:t>收支预算总表支出栏、基本支出表、项目支出表按经济分类和支出功能分类科目编制，反映</w:t>
      </w:r>
      <w:r>
        <w:rPr>
          <w:rFonts w:hint="eastAsia" w:ascii="Times New Roman" w:hAnsi="Times New Roman" w:eastAsia="方正仿宋_GBK" w:cs="Times New Roman"/>
          <w:color w:val="000000"/>
          <w:sz w:val="28"/>
          <w:lang w:eastAsia="zh-CN"/>
        </w:rPr>
        <w:t>廊坊市司法局</w:t>
      </w:r>
      <w:r>
        <w:rPr>
          <w:rFonts w:hint="eastAsia" w:ascii="Times New Roman" w:hAnsi="Times New Roman" w:eastAsia="方正仿宋_GBK" w:cs="Times New Roman"/>
          <w:color w:val="000000"/>
          <w:sz w:val="28"/>
          <w:lang w:val="en-US" w:eastAsia="zh-CN"/>
        </w:rPr>
        <w:t>2023</w:t>
      </w:r>
      <w:r>
        <w:rPr>
          <w:rFonts w:ascii="Times New Roman" w:hAnsi="Times New Roman" w:eastAsia="方正仿宋_GBK" w:cs="Times New Roman"/>
          <w:color w:val="000000"/>
          <w:sz w:val="28"/>
        </w:rPr>
        <w:t>年度部门预算中支出预算的总体情况。20</w:t>
      </w:r>
      <w:r>
        <w:rPr>
          <w:rFonts w:hint="eastAsia" w:ascii="Times New Roman" w:hAnsi="Times New Roman" w:eastAsia="方正仿宋_GBK" w:cs="Times New Roman"/>
          <w:color w:val="000000"/>
          <w:sz w:val="28"/>
        </w:rPr>
        <w:t>2</w:t>
      </w:r>
      <w:r>
        <w:rPr>
          <w:rFonts w:hint="eastAsia" w:ascii="Times New Roman" w:hAnsi="Times New Roman" w:eastAsia="方正仿宋_GBK" w:cs="Times New Roman"/>
          <w:color w:val="000000"/>
          <w:sz w:val="28"/>
          <w:lang w:val="en-US" w:eastAsia="zh-CN"/>
        </w:rPr>
        <w:t>3</w:t>
      </w:r>
      <w:r>
        <w:rPr>
          <w:rFonts w:ascii="Times New Roman" w:hAnsi="Times New Roman" w:eastAsia="方正仿宋_GBK" w:cs="Times New Roman"/>
          <w:color w:val="000000"/>
          <w:sz w:val="28"/>
        </w:rPr>
        <w:t>年支出预算</w:t>
      </w:r>
      <w:r>
        <w:rPr>
          <w:rFonts w:hint="eastAsia" w:ascii="Times New Roman" w:hAnsi="Times New Roman" w:eastAsia="方正仿宋_GBK" w:cs="Times New Roman"/>
          <w:color w:val="000000"/>
          <w:sz w:val="28"/>
          <w:lang w:val="en-US" w:eastAsia="zh-CN"/>
        </w:rPr>
        <w:t>4277.75</w:t>
      </w:r>
      <w:r>
        <w:rPr>
          <w:rFonts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3454.51</w:t>
      </w:r>
      <w:r>
        <w:rPr>
          <w:rFonts w:ascii="Times New Roman" w:hAnsi="Times New Roman" w:eastAsia="方正仿宋_GBK" w:cs="Times New Roman"/>
          <w:color w:val="000000"/>
          <w:sz w:val="28"/>
        </w:rPr>
        <w:t>万元，包括人员类项目经费</w:t>
      </w:r>
      <w:r>
        <w:rPr>
          <w:rFonts w:hint="eastAsia" w:ascii="Times New Roman" w:hAnsi="Times New Roman" w:eastAsia="方正仿宋_GBK" w:cs="Times New Roman"/>
          <w:color w:val="000000"/>
          <w:sz w:val="28"/>
          <w:lang w:val="en-US" w:eastAsia="zh-CN"/>
        </w:rPr>
        <w:t>3025.29</w:t>
      </w:r>
      <w:r>
        <w:rPr>
          <w:rFonts w:ascii="Times New Roman" w:hAnsi="Times New Roman" w:eastAsia="方正仿宋_GBK" w:cs="Times New Roman"/>
          <w:color w:val="000000"/>
          <w:sz w:val="28"/>
        </w:rPr>
        <w:t>万元和</w:t>
      </w:r>
      <w:r>
        <w:rPr>
          <w:rFonts w:hint="eastAsia" w:ascii="Times New Roman" w:hAnsi="Times New Roman" w:eastAsia="方正仿宋_GBK" w:cs="Times New Roman"/>
          <w:color w:val="000000"/>
          <w:sz w:val="28"/>
        </w:rPr>
        <w:t>运转类</w:t>
      </w:r>
      <w:r>
        <w:rPr>
          <w:rFonts w:ascii="Times New Roman" w:hAnsi="Times New Roman" w:eastAsia="方正仿宋_GBK" w:cs="Times New Roman"/>
          <w:color w:val="000000"/>
          <w:sz w:val="28"/>
        </w:rPr>
        <w:t>公用项目经费</w:t>
      </w:r>
      <w:r>
        <w:rPr>
          <w:rFonts w:hint="eastAsia" w:ascii="Times New Roman" w:hAnsi="Times New Roman" w:eastAsia="方正仿宋_GBK" w:cs="Times New Roman"/>
          <w:color w:val="000000"/>
          <w:sz w:val="28"/>
          <w:lang w:val="en-US" w:eastAsia="zh-CN"/>
        </w:rPr>
        <w:t>429.22</w:t>
      </w:r>
      <w:r>
        <w:rPr>
          <w:rFonts w:ascii="Times New Roman" w:hAnsi="Times New Roman" w:eastAsia="方正仿宋_GBK" w:cs="Times New Roman"/>
          <w:color w:val="000000"/>
          <w:sz w:val="28"/>
        </w:rPr>
        <w:t>万元；运转类其他及特定目标类项目支出</w:t>
      </w:r>
      <w:r>
        <w:rPr>
          <w:rFonts w:hint="eastAsia" w:ascii="Times New Roman" w:hAnsi="Times New Roman" w:eastAsia="方正仿宋_GBK" w:cs="Times New Roman"/>
          <w:color w:val="000000"/>
          <w:sz w:val="28"/>
          <w:lang w:val="en-US" w:eastAsia="zh-CN"/>
        </w:rPr>
        <w:t>823.24</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包括</w:t>
      </w:r>
      <w:r>
        <w:rPr>
          <w:rFonts w:ascii="Times New Roman" w:hAnsi="Times New Roman" w:eastAsia="方正仿宋_GBK" w:cs="Times New Roman"/>
          <w:color w:val="000000"/>
          <w:sz w:val="28"/>
        </w:rPr>
        <w:t>本级支出</w:t>
      </w:r>
      <w:r>
        <w:rPr>
          <w:rFonts w:hint="eastAsia" w:ascii="Times New Roman" w:hAnsi="Times New Roman" w:eastAsia="方正仿宋_GBK" w:cs="Times New Roman"/>
          <w:color w:val="000000"/>
          <w:sz w:val="28"/>
          <w:lang w:val="en-US" w:eastAsia="zh-CN"/>
        </w:rPr>
        <w:t>474.46万元，主要为依法治市、法治政府建设、普法宣传、社区矫正和安置帮教、法律援助、律师和公证、司法鉴定等法律服务、基层司法行政；</w:t>
      </w:r>
      <w:r>
        <w:rPr>
          <w:rFonts w:hint="eastAsia" w:ascii="Times New Roman" w:hAnsi="Times New Roman" w:eastAsia="方正仿宋_GBK" w:cs="Times New Roman"/>
          <w:color w:val="000000"/>
          <w:sz w:val="28"/>
          <w:lang w:eastAsia="zh-CN"/>
        </w:rPr>
        <w:t>戒毒场所业务经</w:t>
      </w:r>
      <w:r>
        <w:rPr>
          <w:rFonts w:hint="eastAsia" w:ascii="Times New Roman" w:hAnsi="Times New Roman" w:eastAsia="方正仿宋_GBK" w:cs="Times New Roman"/>
          <w:color w:val="000000"/>
          <w:sz w:val="28"/>
        </w:rPr>
        <w:t>费、</w:t>
      </w:r>
      <w:r>
        <w:rPr>
          <w:rFonts w:hint="eastAsia" w:ascii="Times New Roman" w:hAnsi="Times New Roman" w:eastAsia="方正仿宋_GBK" w:cs="Times New Roman"/>
          <w:color w:val="000000"/>
          <w:sz w:val="28"/>
          <w:lang w:eastAsia="zh-CN"/>
        </w:rPr>
        <w:t>戒毒场所运行经费</w:t>
      </w:r>
      <w:r>
        <w:rPr>
          <w:rFonts w:hint="eastAsia" w:ascii="Times New Roman" w:hAnsi="Times New Roman" w:eastAsia="方正仿宋_GBK" w:cs="Times New Roman"/>
          <w:color w:val="000000"/>
          <w:sz w:val="28"/>
          <w:lang w:val="en-US" w:eastAsia="zh-CN"/>
        </w:rPr>
        <w:t>等项目支出。</w:t>
      </w:r>
    </w:p>
    <w:p>
      <w:pPr>
        <w:spacing w:before="0" w:after="0" w:line="240" w:lineRule="auto"/>
        <w:ind w:firstLine="640"/>
        <w:jc w:val="left"/>
        <w:outlineLvl w:val="9"/>
        <w:rPr>
          <w:rFonts w:hint="eastAsia" w:ascii="方正楷体_GBK" w:hAnsi="方正楷体_GBK" w:eastAsia="方正楷体_GBK" w:cs="方正楷体_GBK"/>
          <w:b/>
          <w:color w:val="000000"/>
          <w:sz w:val="32"/>
          <w:lang w:val="en-US" w:eastAsia="zh-CN"/>
        </w:rPr>
      </w:pPr>
      <w:r>
        <w:rPr>
          <w:rFonts w:hint="eastAsia" w:ascii="方正楷体_GBK" w:hAnsi="方正楷体_GBK" w:eastAsia="方正楷体_GBK" w:cs="方正楷体_GBK"/>
          <w:b/>
          <w:color w:val="000000"/>
          <w:sz w:val="32"/>
          <w:lang w:val="en-US" w:eastAsia="zh-CN"/>
        </w:rPr>
        <w:t>3、比上年增减情况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2023年预算收支安排4277.75万元，较2022年预算减少15.39万元，其中：基本支出增加148.11万元，主要为人员经费支出；项目支出减少163.5万元，主要为预算项目减少。</w:t>
      </w:r>
    </w:p>
    <w:p>
      <w:pPr>
        <w:spacing w:before="10" w:after="10" w:line="360" w:lineRule="auto"/>
        <w:ind w:firstLine="640"/>
        <w:jc w:val="left"/>
        <w:outlineLvl w:val="2"/>
        <w:rPr>
          <w:rFonts w:ascii="黑体" w:hAnsi="黑体" w:eastAsia="黑体" w:cs="黑体"/>
          <w:color w:val="auto"/>
          <w:sz w:val="32"/>
          <w:highlight w:val="none"/>
        </w:rPr>
      </w:pPr>
      <w:bookmarkStart w:id="2" w:name="_Toc_3_3_0000000012"/>
      <w:r>
        <w:rPr>
          <w:rFonts w:ascii="黑体" w:hAnsi="黑体" w:eastAsia="黑体" w:cs="黑体"/>
          <w:color w:val="auto"/>
          <w:sz w:val="32"/>
          <w:highlight w:val="none"/>
        </w:rPr>
        <w:t>三、机关运行经费安排情况</w:t>
      </w:r>
      <w:bookmarkEnd w:id="2"/>
    </w:p>
    <w:p>
      <w:pPr>
        <w:spacing w:before="10" w:after="10" w:line="360" w:lineRule="auto"/>
        <w:ind w:firstLine="640"/>
        <w:jc w:val="left"/>
        <w:outlineLvl w:val="2"/>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2023年，我部门机关运行经费共计安排429.22万元，主要用于</w:t>
      </w:r>
      <w:bookmarkStart w:id="3" w:name="_Toc_3_3_0000000013"/>
      <w:r>
        <w:rPr>
          <w:rFonts w:hint="eastAsia" w:ascii="Times New Roman" w:hAnsi="Times New Roman" w:eastAsia="方正仿宋_GBK" w:cs="Times New Roman"/>
          <w:color w:val="000000"/>
          <w:sz w:val="28"/>
          <w:lang w:val="en-US" w:eastAsia="zh-CN"/>
        </w:rPr>
        <w:t>办公区的日常维修、办公用房水电费、办公用房取暖费、办公用房物业管理费等日常运行支出。</w:t>
      </w:r>
    </w:p>
    <w:p>
      <w:pPr>
        <w:spacing w:before="10" w:after="10" w:line="360" w:lineRule="auto"/>
        <w:ind w:firstLine="640"/>
        <w:jc w:val="left"/>
        <w:outlineLvl w:val="2"/>
        <w:rPr>
          <w:color w:val="auto"/>
          <w:highlight w:val="none"/>
        </w:rPr>
      </w:pPr>
      <w:r>
        <w:rPr>
          <w:rFonts w:ascii="黑体" w:hAnsi="黑体" w:eastAsia="黑体" w:cs="黑体"/>
          <w:color w:val="auto"/>
          <w:sz w:val="32"/>
          <w:highlight w:val="none"/>
        </w:rPr>
        <w:t>四、财政拨款“三公”经费预算情况及增减变化原因</w:t>
      </w:r>
      <w:bookmarkEnd w:id="3"/>
    </w:p>
    <w:p>
      <w:pPr>
        <w:spacing w:before="10" w:after="10" w:line="360" w:lineRule="auto"/>
        <w:ind w:firstLine="640"/>
        <w:jc w:val="left"/>
        <w:outlineLvl w:val="2"/>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我部门财政拨款“三公”经费预算安排41.43万元。其中，因公出国（境）费0万元；公务用车购置及运维费38.39万元（其中：公务用车购置费为0万元，公务用车运维费38.39万元)，公务接待费3.04万元。与2022年相比增加0.4万元，其中公务用车购置及运维费增加0.01万元（其中公务用车购置费0万元与上年持平，公务用车运维费增加0.01万元），</w:t>
      </w:r>
      <w:r>
        <w:rPr>
          <w:rFonts w:hint="eastAsia" w:ascii="Times New Roman" w:hAnsi="Times New Roman" w:eastAsia="方正仿宋_GBK" w:cs="Times New Roman"/>
          <w:color w:val="auto"/>
          <w:sz w:val="28"/>
          <w:lang w:val="en-US" w:eastAsia="zh-CN"/>
        </w:rPr>
        <w:t>主要原因是</w:t>
      </w:r>
      <w:r>
        <w:rPr>
          <w:rFonts w:hint="eastAsia" w:eastAsia="方正仿宋_GBK" w:cs="Times New Roman"/>
          <w:color w:val="auto"/>
          <w:sz w:val="28"/>
          <w:lang w:val="en-US" w:eastAsia="zh-CN"/>
        </w:rPr>
        <w:t>预算测算数变化</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增加</w:t>
      </w:r>
      <w:r>
        <w:rPr>
          <w:rFonts w:hint="eastAsia" w:ascii="Times New Roman" w:hAnsi="Times New Roman" w:eastAsia="方正仿宋_GBK" w:cs="Times New Roman"/>
          <w:color w:val="000000"/>
          <w:sz w:val="28"/>
          <w:lang w:val="en-US" w:eastAsia="zh-CN"/>
        </w:rPr>
        <w:t>0.39万元，</w:t>
      </w:r>
      <w:r>
        <w:rPr>
          <w:rFonts w:hint="eastAsia" w:eastAsia="方正仿宋_GBK" w:cs="Times New Roman"/>
          <w:color w:val="000000"/>
          <w:sz w:val="28"/>
          <w:lang w:val="en-US" w:eastAsia="zh-CN"/>
        </w:rPr>
        <w:t>主要</w:t>
      </w:r>
      <w:r>
        <w:rPr>
          <w:rFonts w:hint="eastAsia" w:ascii="Times New Roman" w:hAnsi="Times New Roman" w:eastAsia="方正仿宋_GBK" w:cs="Times New Roman"/>
          <w:color w:val="000000"/>
          <w:sz w:val="28"/>
          <w:lang w:val="en-US" w:eastAsia="zh-CN"/>
        </w:rPr>
        <w:t>原因是按照人员数量核定公务接待费额度。</w:t>
      </w:r>
    </w:p>
    <w:p>
      <w:pPr>
        <w:spacing w:before="10" w:after="10" w:line="360" w:lineRule="auto"/>
        <w:ind w:firstLine="640"/>
        <w:jc w:val="left"/>
        <w:outlineLvl w:val="2"/>
      </w:pPr>
      <w:bookmarkStart w:id="4" w:name="_Toc_3_3_0000000014"/>
      <w:r>
        <w:rPr>
          <w:rFonts w:ascii="黑体" w:hAnsi="黑体" w:eastAsia="黑体" w:cs="黑体"/>
          <w:color w:val="000000"/>
          <w:sz w:val="32"/>
        </w:rPr>
        <w:t>五、预算绩效信息</w:t>
      </w:r>
      <w:bookmarkEnd w:id="4"/>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坚持以习近平新时代中国特色社会主义思想为统领，全面学习贯彻党的二十大精神,深入践行习近平法治思想，紧紧围绕市委市政府改革发展稳定决策部署，加强依法治市和法治政府建设工作，充分发挥立法的引领、规范和保障作用，不断提高立法质量和效率；确保政府法制专家100%参加市政府重大涉法事项活动；年度行政执法人员和执法监督人员培训参培率达到95%，考试合格率达到90%；整合律师、公证、人民调解、基层法律服务和司法鉴定等法律服务资源，提升公共法律服务水平，全市人民调解案件数量在6000件以上；高质量完成我市国家法律职业资格考试、社区矫正、安置帮教和强制戒毒等工作年度目标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bookmarkStart w:id="9" w:name="_GoBack"/>
      <w:bookmarkEnd w:id="9"/>
    </w:p>
    <w:p>
      <w:pPr>
        <w:pStyle w:val="24"/>
      </w:pPr>
      <w:r>
        <w:rPr>
          <w:rFonts w:hint="eastAsia"/>
          <w:lang w:val="en-US" w:eastAsia="zh-CN"/>
        </w:rPr>
        <w:t>1.</w:t>
      </w:r>
      <w:r>
        <w:t>全面依法治市工作</w:t>
      </w:r>
    </w:p>
    <w:p>
      <w:pPr>
        <w:pStyle w:val="24"/>
      </w:pPr>
      <w:r>
        <w:t>绩效目标：中共廊坊市委全面依法治市委员会办公室抓好依法治市工作地区之间、部门之间协作配合；抓好重点工作的督办督察，确保依法治市决策部署落实到位。</w:t>
      </w:r>
    </w:p>
    <w:p>
      <w:pPr>
        <w:pStyle w:val="24"/>
      </w:pPr>
      <w:r>
        <w:t>绩效指标：重点督办督察工作到位率100%。</w:t>
      </w:r>
    </w:p>
    <w:p>
      <w:pPr>
        <w:pStyle w:val="24"/>
      </w:pPr>
      <w:r>
        <w:rPr>
          <w:rFonts w:hint="eastAsia"/>
          <w:lang w:val="en-US" w:eastAsia="zh-CN"/>
        </w:rPr>
        <w:t>2.</w:t>
      </w:r>
      <w:r>
        <w:t>政府法治制度建设工作</w:t>
      </w:r>
    </w:p>
    <w:p>
      <w:pPr>
        <w:pStyle w:val="24"/>
      </w:pPr>
      <w:r>
        <w:t>绩效目标：本部门围绕市委市政府改革发展决策部署，加强我市重点领域立法和合法性审核工作。</w:t>
      </w:r>
    </w:p>
    <w:p>
      <w:pPr>
        <w:pStyle w:val="24"/>
      </w:pPr>
      <w:r>
        <w:t>绩效指标：政府法律顾问100%参加政府重大涉法事项，为重大决策提供建议和咨询。</w:t>
      </w:r>
    </w:p>
    <w:p>
      <w:pPr>
        <w:pStyle w:val="24"/>
      </w:pPr>
      <w:r>
        <w:rPr>
          <w:rFonts w:hint="eastAsia"/>
          <w:lang w:val="en-US" w:eastAsia="zh-CN"/>
        </w:rPr>
        <w:t>3.</w:t>
      </w:r>
      <w:r>
        <w:t>依法行政工作</w:t>
      </w:r>
    </w:p>
    <w:p>
      <w:pPr>
        <w:pStyle w:val="24"/>
      </w:pPr>
      <w:r>
        <w:t>绩效目标：夯实基层综合行政执法体系建设，规范乡镇和街道执法行为，严格执法人员管理，保障乡镇和街道依法履行执法职责；加强对全市行政复议工作的监督，营造人民群众自觉运用行政复议渠道表达利益诉求、化解行政争议的良好氛围。</w:t>
      </w:r>
    </w:p>
    <w:p>
      <w:pPr>
        <w:pStyle w:val="24"/>
      </w:pPr>
      <w:r>
        <w:t>绩效指标：年度新增行政执法人员和执法监督人员培训参培率达到95%；考试合格率达90%；行政复议和行政诉讼案件指派率达到100%；提高行政诉讼案件的胜诉率。</w:t>
      </w:r>
    </w:p>
    <w:p>
      <w:pPr>
        <w:pStyle w:val="24"/>
      </w:pPr>
      <w:r>
        <w:rPr>
          <w:rFonts w:hint="eastAsia"/>
          <w:lang w:val="en-US" w:eastAsia="zh-CN"/>
        </w:rPr>
        <w:t>4.</w:t>
      </w:r>
      <w:r>
        <w:t xml:space="preserve">司法行政管理工作 </w:t>
      </w:r>
    </w:p>
    <w:p>
      <w:pPr>
        <w:pStyle w:val="24"/>
      </w:pPr>
      <w:r>
        <w:t>绩效目标：积极推进“八五”普法进程；继续推动社区矫正管理平台的功能完善和系统升级；稳妥做好推进国资律师事务所改革改制；深化县级调解中心建设；推进法医类、物证类、声像资料类司法鉴定机构重新审核登记准备工作；做好人民监督员、人民陪审员选任、培训、管理工作。</w:t>
      </w:r>
    </w:p>
    <w:p>
      <w:pPr>
        <w:pStyle w:val="24"/>
      </w:pPr>
      <w:r>
        <w:t>绩效指标：组织各级干部普法考试1次，组织全市范围宪法日主题宣传活动1次；100%完成法律援助案件律师指派工作；全市人民调解案件数量在6000以上；基层法律服务所年检率达100%；人民监督员指派率100%。</w:t>
      </w:r>
    </w:p>
    <w:p>
      <w:pPr>
        <w:pStyle w:val="24"/>
      </w:pPr>
      <w:r>
        <w:rPr>
          <w:rFonts w:hint="eastAsia"/>
          <w:lang w:val="en-US" w:eastAsia="zh-CN"/>
        </w:rPr>
        <w:t>5.</w:t>
      </w:r>
      <w:r>
        <w:t>国家法律职业资格考试</w:t>
      </w:r>
    </w:p>
    <w:p>
      <w:pPr>
        <w:pStyle w:val="24"/>
      </w:pPr>
      <w:r>
        <w:t>绩效目标：圆满完成我市国家法律职业资格考试组织实施工作；提升我市法律职业资格证书申请审核和管理工作水平。</w:t>
      </w:r>
    </w:p>
    <w:p>
      <w:pPr>
        <w:pStyle w:val="24"/>
      </w:pPr>
      <w:r>
        <w:t xml:space="preserve">绩效指标：考试组织工作事故率为零，考生对法律职业资格申请工作满意度为100%。 </w:t>
      </w:r>
    </w:p>
    <w:p>
      <w:pPr>
        <w:pStyle w:val="24"/>
      </w:pPr>
      <w:r>
        <w:rPr>
          <w:rFonts w:hint="eastAsia"/>
          <w:lang w:val="en-US" w:eastAsia="zh-CN"/>
        </w:rPr>
        <w:t>6.</w:t>
      </w:r>
      <w:r>
        <w:t>戒毒管理工作</w:t>
      </w:r>
    </w:p>
    <w:p>
      <w:pPr>
        <w:pStyle w:val="24"/>
      </w:pPr>
      <w:r>
        <w:t>绩效目标：依法收治强制隔离戒毒人员，重点推进戒毒人员教育矫正、康复训练、心理矫治、戒毒医疗、诊断评估执法业务，确保场所秩序稳定。</w:t>
      </w:r>
    </w:p>
    <w:p>
      <w:pPr>
        <w:pStyle w:val="24"/>
      </w:pPr>
      <w:r>
        <w:t>绩效指标：所内戒断率100%，戒毒人员回归社会复吸率较上年降低。</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本部门为实现年度绩效目标，保证绩效目标实现，结合本部门预算绩效管理的实际情况制定了如下保障措施：</w:t>
      </w:r>
    </w:p>
    <w:p>
      <w:pPr>
        <w:pStyle w:val="25"/>
      </w:pPr>
      <w:r>
        <w:rPr>
          <w:rFonts w:hint="eastAsia"/>
          <w:lang w:val="en-US" w:eastAsia="zh-CN"/>
        </w:rPr>
        <w:t>1.</w:t>
      </w:r>
      <w:r>
        <w:t>完善制度建设</w:t>
      </w:r>
    </w:p>
    <w:p>
      <w:pPr>
        <w:pStyle w:val="25"/>
      </w:pPr>
      <w:r>
        <w:t>按照部门内部控制的总体要求，制定完善预算绩效管理制度、财务管理规定、现金管理办法等相关工作保障制度，为全年预算绩效目标的实现奠定制度基础。</w:t>
      </w:r>
    </w:p>
    <w:p>
      <w:pPr>
        <w:pStyle w:val="25"/>
      </w:pPr>
      <w:r>
        <w:rPr>
          <w:rFonts w:hint="eastAsia"/>
          <w:lang w:val="en-US" w:eastAsia="zh-CN"/>
        </w:rPr>
        <w:t>2.</w:t>
      </w:r>
      <w:r>
        <w:t>加强支出管理</w:t>
      </w:r>
    </w:p>
    <w:p>
      <w:pPr>
        <w:pStyle w:val="25"/>
      </w:pPr>
      <w:r>
        <w:t>通过优化支出结构、编细编实预算、加快履行政府采购手续、尽快启动项目、及时支付资金，确保支出进度达标。</w:t>
      </w:r>
    </w:p>
    <w:p>
      <w:pPr>
        <w:pStyle w:val="25"/>
      </w:pPr>
      <w:r>
        <w:rPr>
          <w:rFonts w:hint="eastAsia"/>
          <w:lang w:val="en-US" w:eastAsia="zh-CN"/>
        </w:rPr>
        <w:t>3.</w:t>
      </w:r>
      <w:r>
        <w:t>加强绩效运行监控</w:t>
      </w:r>
    </w:p>
    <w:p>
      <w:pPr>
        <w:pStyle w:val="25"/>
      </w:pPr>
      <w:r>
        <w:t>为加强绩效运行监控，我部门成立了预算绩效管理领导小组，下设绩效管理工作办公室，按要求开展绩效运行监控，发现问题及时采取措施，确保绩效目标如期保质实现。</w:t>
      </w:r>
    </w:p>
    <w:p>
      <w:pPr>
        <w:pStyle w:val="25"/>
      </w:pPr>
      <w:r>
        <w:rPr>
          <w:rFonts w:hint="eastAsia"/>
          <w:lang w:val="en-US" w:eastAsia="zh-CN"/>
        </w:rPr>
        <w:t>4.</w:t>
      </w:r>
      <w:r>
        <w:t>做好绩效自评</w:t>
      </w:r>
    </w:p>
    <w:p>
      <w:pPr>
        <w:pStyle w:val="25"/>
      </w:pPr>
      <w:r>
        <w:t>按要求开展上年度部门预算绩效自评和重点评价工作，对评价中发现的问题及时整改，调整优化支出结构，提高财政资金使用效益。</w:t>
      </w:r>
    </w:p>
    <w:p>
      <w:pPr>
        <w:pStyle w:val="25"/>
      </w:pPr>
      <w:r>
        <w:rPr>
          <w:rFonts w:hint="eastAsia"/>
          <w:lang w:val="en-US" w:eastAsia="zh-CN"/>
        </w:rPr>
        <w:t>5.</w:t>
      </w:r>
      <w:r>
        <w:t>规范财务资产管理</w:t>
      </w:r>
    </w:p>
    <w:p>
      <w:pPr>
        <w:pStyle w:val="25"/>
      </w:pPr>
      <w:r>
        <w:t>完善财务管理制度，严格审批程序，加强固定资产登记、使用和报废处置管理，做到支出合理，物尽其用。</w:t>
      </w:r>
    </w:p>
    <w:p>
      <w:pPr>
        <w:pStyle w:val="25"/>
      </w:pPr>
      <w:r>
        <w:rPr>
          <w:rFonts w:hint="eastAsia"/>
          <w:lang w:val="en-US" w:eastAsia="zh-CN"/>
        </w:rPr>
        <w:t>6.</w:t>
      </w:r>
      <w:r>
        <w:t>加强内部监督</w:t>
      </w:r>
    </w:p>
    <w:p>
      <w:pPr>
        <w:pStyle w:val="2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rPr>
          <w:rFonts w:hint="eastAsia"/>
          <w:lang w:val="en-US" w:eastAsia="zh-CN"/>
        </w:rPr>
        <w:t>7.</w:t>
      </w:r>
      <w:r>
        <w:t>加强宣传培训调研等</w:t>
      </w:r>
    </w:p>
    <w:p>
      <w:pPr>
        <w:pStyle w:val="25"/>
      </w:pPr>
      <w:r>
        <w:t>加强人员培训，提高本部门人员业务素质；加强调研，提出优化财政资金配置、提高资金使用效益的意见建议；加大宣传力度，强化预算绩效管理意识，促进预算绩效管理水平进一步提升。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4" w:lineRule="exact"/>
        <w:ind w:firstLine="548" w:firstLineChars="196"/>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（四）部门整体支出绩效指标</w:t>
      </w:r>
    </w:p>
    <w:p>
      <w:pPr>
        <w:numPr>
          <w:ilvl w:val="0"/>
          <w:numId w:val="0"/>
        </w:numPr>
        <w:spacing w:before="0" w:after="0" w:line="240" w:lineRule="auto"/>
        <w:jc w:val="left"/>
        <w:outlineLvl w:val="9"/>
        <w:rPr>
          <w:rFonts w:ascii="方正楷体_GBK" w:hAnsi="方正楷体_GBK" w:eastAsia="方正楷体_GBK" w:cs="方正楷体_GBK"/>
          <w:b/>
          <w:color w:val="0000FF"/>
          <w:sz w:val="32"/>
        </w:rPr>
      </w:pPr>
    </w:p>
    <w:tbl>
      <w:tblPr>
        <w:tblStyle w:val="6"/>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25"/>
        <w:gridCol w:w="826"/>
        <w:gridCol w:w="1112"/>
        <w:gridCol w:w="1702"/>
        <w:gridCol w:w="1651"/>
        <w:gridCol w:w="630"/>
        <w:gridCol w:w="602"/>
        <w:gridCol w:w="686"/>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blHeader/>
          <w:jc w:val="center"/>
        </w:trPr>
        <w:tc>
          <w:tcPr>
            <w:tcW w:w="625"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一级</w:t>
            </w:r>
          </w:p>
          <w:p>
            <w:pPr>
              <w:overflowPunct w:val="0"/>
              <w:adjustRightInd w:val="0"/>
              <w:snapToGrid w:val="0"/>
              <w:spacing w:line="260" w:lineRule="exact"/>
              <w:jc w:val="center"/>
              <w:rPr>
                <w:rFonts w:eastAsia="黑体"/>
                <w:sz w:val="21"/>
                <w:szCs w:val="21"/>
              </w:rPr>
            </w:pPr>
            <w:r>
              <w:rPr>
                <w:rFonts w:eastAsia="黑体"/>
                <w:sz w:val="21"/>
                <w:szCs w:val="21"/>
              </w:rPr>
              <w:t>指标</w:t>
            </w:r>
          </w:p>
        </w:tc>
        <w:tc>
          <w:tcPr>
            <w:tcW w:w="826"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二级</w:t>
            </w:r>
          </w:p>
          <w:p>
            <w:pPr>
              <w:overflowPunct w:val="0"/>
              <w:adjustRightInd w:val="0"/>
              <w:snapToGrid w:val="0"/>
              <w:spacing w:line="260" w:lineRule="exact"/>
              <w:jc w:val="center"/>
              <w:rPr>
                <w:rFonts w:eastAsia="黑体"/>
                <w:sz w:val="21"/>
                <w:szCs w:val="21"/>
              </w:rPr>
            </w:pPr>
            <w:r>
              <w:rPr>
                <w:rFonts w:eastAsia="黑体"/>
                <w:sz w:val="21"/>
                <w:szCs w:val="21"/>
              </w:rPr>
              <w:t>指标</w:t>
            </w:r>
          </w:p>
        </w:tc>
        <w:tc>
          <w:tcPr>
            <w:tcW w:w="1112"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三级</w:t>
            </w:r>
          </w:p>
          <w:p>
            <w:pPr>
              <w:overflowPunct w:val="0"/>
              <w:adjustRightInd w:val="0"/>
              <w:snapToGrid w:val="0"/>
              <w:spacing w:line="260" w:lineRule="exact"/>
              <w:jc w:val="center"/>
              <w:rPr>
                <w:rFonts w:eastAsia="黑体"/>
                <w:sz w:val="21"/>
                <w:szCs w:val="21"/>
              </w:rPr>
            </w:pPr>
            <w:r>
              <w:rPr>
                <w:rFonts w:eastAsia="黑体"/>
                <w:sz w:val="21"/>
                <w:szCs w:val="21"/>
              </w:rPr>
              <w:t>指标</w:t>
            </w:r>
          </w:p>
        </w:tc>
        <w:tc>
          <w:tcPr>
            <w:tcW w:w="1702"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评（扣）分标准</w:t>
            </w:r>
          </w:p>
        </w:tc>
        <w:tc>
          <w:tcPr>
            <w:tcW w:w="1651"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绩效指标</w:t>
            </w:r>
          </w:p>
          <w:p>
            <w:pPr>
              <w:overflowPunct w:val="0"/>
              <w:adjustRightInd w:val="0"/>
              <w:snapToGrid w:val="0"/>
              <w:spacing w:line="260" w:lineRule="exact"/>
              <w:jc w:val="center"/>
              <w:rPr>
                <w:rFonts w:eastAsia="黑体"/>
                <w:sz w:val="21"/>
                <w:szCs w:val="21"/>
              </w:rPr>
            </w:pPr>
            <w:r>
              <w:rPr>
                <w:rFonts w:eastAsia="黑体"/>
                <w:sz w:val="21"/>
                <w:szCs w:val="21"/>
              </w:rPr>
              <w:t>描述</w:t>
            </w:r>
          </w:p>
        </w:tc>
        <w:tc>
          <w:tcPr>
            <w:tcW w:w="1918" w:type="dxa"/>
            <w:gridSpan w:val="3"/>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指标值</w:t>
            </w:r>
          </w:p>
        </w:tc>
        <w:tc>
          <w:tcPr>
            <w:tcW w:w="1033" w:type="dxa"/>
            <w:vMerge w:val="restart"/>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指标值</w:t>
            </w:r>
          </w:p>
          <w:p>
            <w:pPr>
              <w:overflowPunct w:val="0"/>
              <w:adjustRightInd w:val="0"/>
              <w:snapToGrid w:val="0"/>
              <w:spacing w:line="260" w:lineRule="exact"/>
              <w:jc w:val="center"/>
              <w:rPr>
                <w:rFonts w:eastAsia="黑体"/>
                <w:sz w:val="21"/>
                <w:szCs w:val="21"/>
              </w:rPr>
            </w:pPr>
            <w:r>
              <w:rPr>
                <w:rFonts w:eastAsia="黑体"/>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blHeader/>
          <w:jc w:val="center"/>
        </w:trPr>
        <w:tc>
          <w:tcPr>
            <w:tcW w:w="625" w:type="dxa"/>
            <w:vMerge w:val="continue"/>
            <w:noWrap w:val="0"/>
            <w:vAlign w:val="center"/>
          </w:tcPr>
          <w:p>
            <w:pPr>
              <w:overflowPunct w:val="0"/>
              <w:adjustRightInd w:val="0"/>
              <w:snapToGrid w:val="0"/>
              <w:spacing w:line="260" w:lineRule="exact"/>
              <w:jc w:val="center"/>
              <w:rPr>
                <w:rFonts w:eastAsia="黑体"/>
                <w:sz w:val="21"/>
                <w:szCs w:val="21"/>
              </w:rPr>
            </w:pPr>
          </w:p>
        </w:tc>
        <w:tc>
          <w:tcPr>
            <w:tcW w:w="826" w:type="dxa"/>
            <w:vMerge w:val="continue"/>
            <w:noWrap w:val="0"/>
            <w:vAlign w:val="center"/>
          </w:tcPr>
          <w:p>
            <w:pPr>
              <w:overflowPunct w:val="0"/>
              <w:adjustRightInd w:val="0"/>
              <w:snapToGrid w:val="0"/>
              <w:spacing w:line="260" w:lineRule="exact"/>
              <w:jc w:val="center"/>
              <w:rPr>
                <w:rFonts w:eastAsia="黑体"/>
                <w:sz w:val="21"/>
                <w:szCs w:val="21"/>
              </w:rPr>
            </w:pPr>
          </w:p>
        </w:tc>
        <w:tc>
          <w:tcPr>
            <w:tcW w:w="1112" w:type="dxa"/>
            <w:vMerge w:val="continue"/>
            <w:noWrap w:val="0"/>
            <w:vAlign w:val="center"/>
          </w:tcPr>
          <w:p>
            <w:pPr>
              <w:overflowPunct w:val="0"/>
              <w:adjustRightInd w:val="0"/>
              <w:snapToGrid w:val="0"/>
              <w:spacing w:line="260" w:lineRule="exact"/>
              <w:jc w:val="center"/>
              <w:rPr>
                <w:rFonts w:eastAsia="黑体"/>
                <w:sz w:val="21"/>
                <w:szCs w:val="21"/>
              </w:rPr>
            </w:pPr>
          </w:p>
        </w:tc>
        <w:tc>
          <w:tcPr>
            <w:tcW w:w="1702" w:type="dxa"/>
            <w:vMerge w:val="continue"/>
            <w:noWrap w:val="0"/>
            <w:vAlign w:val="center"/>
          </w:tcPr>
          <w:p>
            <w:pPr>
              <w:overflowPunct w:val="0"/>
              <w:adjustRightInd w:val="0"/>
              <w:snapToGrid w:val="0"/>
              <w:spacing w:line="260" w:lineRule="exact"/>
              <w:jc w:val="center"/>
              <w:rPr>
                <w:rFonts w:eastAsia="黑体"/>
                <w:sz w:val="21"/>
                <w:szCs w:val="21"/>
              </w:rPr>
            </w:pPr>
          </w:p>
        </w:tc>
        <w:tc>
          <w:tcPr>
            <w:tcW w:w="1651" w:type="dxa"/>
            <w:vMerge w:val="continue"/>
            <w:noWrap w:val="0"/>
            <w:vAlign w:val="center"/>
          </w:tcPr>
          <w:p>
            <w:pPr>
              <w:overflowPunct w:val="0"/>
              <w:adjustRightInd w:val="0"/>
              <w:snapToGrid w:val="0"/>
              <w:spacing w:line="260" w:lineRule="exact"/>
              <w:jc w:val="center"/>
              <w:rPr>
                <w:rFonts w:eastAsia="黑体"/>
                <w:sz w:val="21"/>
                <w:szCs w:val="21"/>
              </w:rPr>
            </w:pPr>
          </w:p>
        </w:tc>
        <w:tc>
          <w:tcPr>
            <w:tcW w:w="630" w:type="dxa"/>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符号</w:t>
            </w:r>
          </w:p>
        </w:tc>
        <w:tc>
          <w:tcPr>
            <w:tcW w:w="602" w:type="dxa"/>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值</w:t>
            </w:r>
          </w:p>
        </w:tc>
        <w:tc>
          <w:tcPr>
            <w:tcW w:w="686" w:type="dxa"/>
            <w:noWrap w:val="0"/>
            <w:vAlign w:val="center"/>
          </w:tcPr>
          <w:p>
            <w:pPr>
              <w:overflowPunct w:val="0"/>
              <w:adjustRightInd w:val="0"/>
              <w:snapToGrid w:val="0"/>
              <w:spacing w:line="260" w:lineRule="exact"/>
              <w:jc w:val="center"/>
              <w:rPr>
                <w:rFonts w:eastAsia="黑体"/>
                <w:sz w:val="21"/>
                <w:szCs w:val="21"/>
              </w:rPr>
            </w:pPr>
            <w:r>
              <w:rPr>
                <w:rFonts w:eastAsia="黑体"/>
                <w:sz w:val="21"/>
                <w:szCs w:val="21"/>
              </w:rPr>
              <w:t>单位</w:t>
            </w:r>
          </w:p>
        </w:tc>
        <w:tc>
          <w:tcPr>
            <w:tcW w:w="1033" w:type="dxa"/>
            <w:vMerge w:val="continue"/>
            <w:noWrap w:val="0"/>
            <w:vAlign w:val="center"/>
          </w:tcPr>
          <w:p>
            <w:pPr>
              <w:overflowPunct w:val="0"/>
              <w:adjustRightInd w:val="0"/>
              <w:snapToGrid w:val="0"/>
              <w:spacing w:line="260" w:lineRule="exact"/>
              <w:jc w:val="center"/>
              <w:rPr>
                <w:rFonts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0" w:hRule="atLeast"/>
          <w:jc w:val="center"/>
        </w:trPr>
        <w:tc>
          <w:tcPr>
            <w:tcW w:w="625" w:type="dxa"/>
            <w:vMerge w:val="restart"/>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部门</w:t>
            </w:r>
          </w:p>
          <w:p>
            <w:pPr>
              <w:overflowPunct w:val="0"/>
              <w:adjustRightInd w:val="0"/>
              <w:snapToGrid w:val="0"/>
              <w:spacing w:line="260" w:lineRule="exact"/>
              <w:jc w:val="center"/>
              <w:rPr>
                <w:rFonts w:eastAsia="宋体"/>
                <w:sz w:val="21"/>
                <w:szCs w:val="21"/>
              </w:rPr>
            </w:pPr>
            <w:r>
              <w:rPr>
                <w:rFonts w:eastAsia="宋体"/>
                <w:sz w:val="21"/>
                <w:szCs w:val="21"/>
              </w:rPr>
              <w:t>产出</w:t>
            </w: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数量</w:t>
            </w:r>
          </w:p>
        </w:tc>
        <w:tc>
          <w:tcPr>
            <w:tcW w:w="1112" w:type="dxa"/>
            <w:noWrap w:val="0"/>
            <w:vAlign w:val="center"/>
          </w:tcPr>
          <w:p>
            <w:pPr>
              <w:overflowPunct w:val="0"/>
              <w:adjustRightInd w:val="0"/>
              <w:snapToGrid w:val="0"/>
              <w:spacing w:line="260" w:lineRule="exact"/>
              <w:jc w:val="center"/>
              <w:rPr>
                <w:rFonts w:eastAsia="宋体"/>
                <w:sz w:val="21"/>
                <w:szCs w:val="21"/>
                <w:lang w:eastAsia="zh-CN"/>
              </w:rPr>
            </w:pPr>
            <w:r>
              <w:rPr>
                <w:rFonts w:eastAsia="宋体"/>
                <w:sz w:val="21"/>
                <w:szCs w:val="21"/>
              </w:rPr>
              <w:t>普法考试</w:t>
            </w:r>
          </w:p>
          <w:p>
            <w:pPr>
              <w:overflowPunct w:val="0"/>
              <w:adjustRightInd w:val="0"/>
              <w:snapToGrid w:val="0"/>
              <w:spacing w:line="260" w:lineRule="exact"/>
              <w:jc w:val="center"/>
              <w:rPr>
                <w:rFonts w:eastAsia="宋体"/>
                <w:sz w:val="21"/>
                <w:szCs w:val="21"/>
              </w:rPr>
            </w:pPr>
            <w:r>
              <w:rPr>
                <w:rFonts w:eastAsia="宋体"/>
                <w:sz w:val="21"/>
                <w:szCs w:val="21"/>
              </w:rPr>
              <w:t>次数</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达到目标得权重分的100%，未完成不得分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考察组织各类人员普法考试次数</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次</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40"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jc w:val="center"/>
              <w:rPr>
                <w:rFonts w:eastAsia="宋体"/>
                <w:sz w:val="21"/>
                <w:szCs w:val="21"/>
                <w:lang w:eastAsia="zh-CN"/>
              </w:rPr>
            </w:pPr>
            <w:r>
              <w:rPr>
                <w:rFonts w:eastAsia="宋体"/>
                <w:sz w:val="21"/>
                <w:szCs w:val="21"/>
              </w:rPr>
              <w:t>调解案件</w:t>
            </w:r>
          </w:p>
          <w:p>
            <w:pPr>
              <w:overflowPunct w:val="0"/>
              <w:adjustRightInd w:val="0"/>
              <w:snapToGrid w:val="0"/>
              <w:spacing w:line="260" w:lineRule="exact"/>
              <w:jc w:val="center"/>
              <w:rPr>
                <w:rFonts w:eastAsia="宋体"/>
                <w:sz w:val="21"/>
                <w:szCs w:val="21"/>
              </w:rPr>
            </w:pPr>
            <w:r>
              <w:rPr>
                <w:rFonts w:eastAsia="宋体"/>
                <w:sz w:val="21"/>
                <w:szCs w:val="21"/>
              </w:rPr>
              <w:t>数量</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达到目标得权重分的100%，每少完成10件扣减权重分的10%，扣完为止</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反映各类案件调解工作的完成情况</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lang w:val="en-US" w:eastAsia="zh-CN"/>
              </w:rPr>
              <w:t>600</w:t>
            </w:r>
            <w:r>
              <w:rPr>
                <w:rFonts w:eastAsia="宋体"/>
                <w:sz w:val="21"/>
                <w:szCs w:val="21"/>
              </w:rPr>
              <w:t>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件</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50"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人员培训</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达到目标得权重分的100%，未完成不得分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考察全年行政执法人员和执法监督人员的培训情况</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次</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80"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质量</w:t>
            </w: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法律援助案件指派率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达到目标得权重分的100%，每下降1%扣减权重分的10%，扣完为止</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完成法律援助案件指派率=（应指派法律援助案件数/实际指派数）×100%。</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100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0"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考试合格率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达到目标得权重分的100%，每下降1%扣减权重分的10%，扣完为止</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考察新增执法人员考试合格情况</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90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7"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tabs>
                <w:tab w:val="left" w:pos="413"/>
              </w:tabs>
              <w:overflowPunct w:val="0"/>
              <w:adjustRightInd w:val="0"/>
              <w:snapToGrid w:val="0"/>
              <w:spacing w:line="260" w:lineRule="exact"/>
              <w:jc w:val="center"/>
              <w:rPr>
                <w:rFonts w:eastAsia="宋体"/>
                <w:sz w:val="21"/>
                <w:szCs w:val="21"/>
              </w:rPr>
            </w:pPr>
            <w:r>
              <w:rPr>
                <w:rFonts w:eastAsia="宋体"/>
                <w:sz w:val="21"/>
                <w:szCs w:val="21"/>
              </w:rPr>
              <w:t>考试组织工作事故率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达到目标得权重分的100%，发生事故不得分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考察组织国家统一法律职业资格考试是否发生事故</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8"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时效</w:t>
            </w: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人民监督员指派及时性</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按时、顺利完成得满分，未及时完成不得分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考察人民监督员指派时间的及时程度</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文字描述</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及时</w:t>
            </w:r>
          </w:p>
        </w:tc>
        <w:tc>
          <w:tcPr>
            <w:tcW w:w="686" w:type="dxa"/>
            <w:noWrap w:val="0"/>
            <w:vAlign w:val="center"/>
          </w:tcPr>
          <w:p>
            <w:pPr>
              <w:overflowPunct w:val="0"/>
              <w:adjustRightInd w:val="0"/>
              <w:snapToGrid w:val="0"/>
              <w:spacing w:line="260" w:lineRule="exact"/>
              <w:jc w:val="center"/>
              <w:rPr>
                <w:rFonts w:eastAsia="宋体"/>
                <w:sz w:val="21"/>
                <w:szCs w:val="21"/>
              </w:rPr>
            </w:pP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17"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行政复议案件指派及时性</w:t>
            </w:r>
          </w:p>
        </w:tc>
        <w:tc>
          <w:tcPr>
            <w:tcW w:w="1702" w:type="dxa"/>
            <w:noWrap w:val="0"/>
            <w:vAlign w:val="center"/>
          </w:tcPr>
          <w:p>
            <w:pPr>
              <w:tabs>
                <w:tab w:val="left" w:pos="30"/>
              </w:tabs>
              <w:overflowPunct w:val="0"/>
              <w:adjustRightInd w:val="0"/>
              <w:snapToGrid w:val="0"/>
              <w:spacing w:line="260" w:lineRule="exact"/>
              <w:rPr>
                <w:rFonts w:eastAsia="宋体"/>
                <w:sz w:val="21"/>
                <w:szCs w:val="21"/>
              </w:rPr>
            </w:pPr>
            <w:r>
              <w:rPr>
                <w:rFonts w:eastAsia="宋体"/>
                <w:sz w:val="21"/>
                <w:szCs w:val="21"/>
              </w:rPr>
              <w:tab/>
            </w:r>
            <w:r>
              <w:rPr>
                <w:rFonts w:eastAsia="宋体"/>
                <w:sz w:val="21"/>
                <w:szCs w:val="21"/>
              </w:rPr>
              <w:t>按时参加复议案件庭审得满分，未及时参加不得分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考察指派工作人员参加行政复议案件是否及时</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文字描述</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及时</w:t>
            </w:r>
          </w:p>
        </w:tc>
        <w:tc>
          <w:tcPr>
            <w:tcW w:w="686" w:type="dxa"/>
            <w:noWrap w:val="0"/>
            <w:vAlign w:val="center"/>
          </w:tcPr>
          <w:p>
            <w:pPr>
              <w:overflowPunct w:val="0"/>
              <w:adjustRightInd w:val="0"/>
              <w:snapToGrid w:val="0"/>
              <w:spacing w:line="260" w:lineRule="exact"/>
              <w:jc w:val="center"/>
              <w:rPr>
                <w:rFonts w:eastAsia="宋体"/>
                <w:sz w:val="21"/>
                <w:szCs w:val="21"/>
              </w:rPr>
            </w:pP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494"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成本</w:t>
            </w:r>
          </w:p>
        </w:tc>
        <w:tc>
          <w:tcPr>
            <w:tcW w:w="1112" w:type="dxa"/>
            <w:noWrap w:val="0"/>
            <w:vAlign w:val="center"/>
          </w:tcPr>
          <w:p>
            <w:pPr>
              <w:overflowPunct w:val="0"/>
              <w:adjustRightInd w:val="0"/>
              <w:snapToGrid w:val="0"/>
              <w:spacing w:line="260" w:lineRule="exact"/>
              <w:jc w:val="center"/>
              <w:rPr>
                <w:rFonts w:eastAsia="宋体"/>
                <w:sz w:val="21"/>
                <w:szCs w:val="21"/>
                <w:lang w:eastAsia="zh-CN"/>
              </w:rPr>
            </w:pPr>
            <w:r>
              <w:rPr>
                <w:rFonts w:eastAsia="宋体"/>
                <w:sz w:val="21"/>
                <w:szCs w:val="21"/>
              </w:rPr>
              <w:t>公用经费</w:t>
            </w:r>
          </w:p>
          <w:p>
            <w:pPr>
              <w:overflowPunct w:val="0"/>
              <w:adjustRightInd w:val="0"/>
              <w:snapToGrid w:val="0"/>
              <w:spacing w:line="260" w:lineRule="exact"/>
              <w:jc w:val="center"/>
              <w:rPr>
                <w:rFonts w:eastAsia="宋体"/>
                <w:sz w:val="21"/>
                <w:szCs w:val="21"/>
              </w:rPr>
            </w:pPr>
            <w:r>
              <w:rPr>
                <w:rFonts w:eastAsia="宋体"/>
                <w:sz w:val="21"/>
                <w:szCs w:val="21"/>
              </w:rPr>
              <w:t>控制率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公用经费实际支出数</w:t>
            </w:r>
            <w:r>
              <w:rPr>
                <w:rFonts w:hint="eastAsia" w:eastAsia="宋体"/>
                <w:sz w:val="21"/>
                <w:szCs w:val="21"/>
              </w:rPr>
              <w:t>≤</w:t>
            </w:r>
            <w:r>
              <w:rPr>
                <w:rFonts w:eastAsia="宋体"/>
                <w:sz w:val="21"/>
                <w:szCs w:val="21"/>
              </w:rPr>
              <w:t>预算安排的三公经费数，得权重分的50%，否则不得分；日常公用经费决算数</w:t>
            </w:r>
            <w:r>
              <w:rPr>
                <w:rFonts w:hint="eastAsia" w:eastAsia="宋体"/>
                <w:sz w:val="21"/>
                <w:szCs w:val="21"/>
              </w:rPr>
              <w:t>≤</w:t>
            </w:r>
            <w:r>
              <w:rPr>
                <w:rFonts w:eastAsia="宋体"/>
                <w:sz w:val="21"/>
                <w:szCs w:val="21"/>
              </w:rPr>
              <w:t>日常公用经费调整预算数，得权重分的50%，否则不得分</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部门本年度实际支出的公用经费总额与预算安排的公用经费总额的比率，反映和考核部门对机构运转成本的实际可控制程度。</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100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34" w:hRule="atLeast"/>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“12348”法律服务热线工作成本控制率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达到目标值得满分，每超出10%扣减10%权重分，扣完为止。</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“12348”法律服务热线工作成本成本控制在预算内</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100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restart"/>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部门效果</w:t>
            </w: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社会</w:t>
            </w:r>
          </w:p>
          <w:p>
            <w:pPr>
              <w:overflowPunct w:val="0"/>
              <w:adjustRightInd w:val="0"/>
              <w:snapToGrid w:val="0"/>
              <w:spacing w:line="260" w:lineRule="exact"/>
              <w:jc w:val="center"/>
              <w:rPr>
                <w:rFonts w:eastAsia="宋体"/>
                <w:sz w:val="21"/>
                <w:szCs w:val="21"/>
              </w:rPr>
            </w:pPr>
            <w:r>
              <w:rPr>
                <w:rFonts w:hint="eastAsia" w:eastAsia="宋体"/>
                <w:sz w:val="21"/>
                <w:szCs w:val="21"/>
              </w:rPr>
              <w:t>效益</w:t>
            </w: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社区矫正人员再犯罪率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反映全市社区矫正再犯罪情况</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达到目标得权重分100%，每提高0.1%扣权重分10%，扣完为止</w:t>
            </w:r>
          </w:p>
        </w:tc>
        <w:tc>
          <w:tcPr>
            <w:tcW w:w="630" w:type="dxa"/>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0.25</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司法鉴定机构年检率</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反映对所有司法鉴定机构年检情况，年检率等于年检数/鉴定机构数</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达到目标得权重分100%，每降低1%扣权重分10%，扣完为止</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100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提升戒毒场所稳定性</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反映戒毒场所是否发生事故</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戒毒场所未发生事故得权重分值100%，发生事故不得分</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文字描述</w:t>
            </w:r>
          </w:p>
        </w:tc>
        <w:tc>
          <w:tcPr>
            <w:tcW w:w="602" w:type="dxa"/>
            <w:noWrap w:val="0"/>
            <w:vAlign w:val="center"/>
          </w:tcPr>
          <w:p>
            <w:pPr>
              <w:overflowPunct w:val="0"/>
              <w:adjustRightInd w:val="0"/>
              <w:snapToGrid w:val="0"/>
              <w:spacing w:line="260" w:lineRule="exact"/>
              <w:jc w:val="center"/>
              <w:rPr>
                <w:rFonts w:eastAsia="宋体"/>
                <w:sz w:val="21"/>
                <w:szCs w:val="21"/>
              </w:rPr>
            </w:pP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提升</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restart"/>
            <w:noWrap w:val="0"/>
            <w:vAlign w:val="center"/>
          </w:tcPr>
          <w:p>
            <w:pPr>
              <w:overflowPunct w:val="0"/>
              <w:adjustRightInd w:val="0"/>
              <w:snapToGrid w:val="0"/>
              <w:spacing w:line="260" w:lineRule="exact"/>
              <w:jc w:val="center"/>
              <w:rPr>
                <w:rFonts w:eastAsia="宋体"/>
                <w:sz w:val="21"/>
                <w:szCs w:val="21"/>
              </w:rPr>
            </w:pPr>
            <w:r>
              <w:rPr>
                <w:rFonts w:hint="eastAsia" w:eastAsia="宋体"/>
                <w:sz w:val="21"/>
                <w:szCs w:val="21"/>
              </w:rPr>
              <w:t>满意度</w:t>
            </w: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考生满意度</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反映考生对法律职业资格审核工作满意度</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达到目标得权重分100%，满意度小于60%不得分，满意度在60-90%之间，在0分和满分之间计算：得分=（实际值-60%）/30%权重</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100</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机关工作人员满意度</w:t>
            </w:r>
          </w:p>
        </w:tc>
        <w:tc>
          <w:tcPr>
            <w:tcW w:w="1702" w:type="dxa"/>
            <w:noWrap w:val="0"/>
            <w:vAlign w:val="center"/>
          </w:tcPr>
          <w:p>
            <w:pPr>
              <w:overflowPunct w:val="0"/>
              <w:adjustRightInd w:val="0"/>
              <w:snapToGrid w:val="0"/>
              <w:spacing w:line="260" w:lineRule="exact"/>
              <w:rPr>
                <w:rFonts w:eastAsia="宋体"/>
                <w:sz w:val="21"/>
                <w:szCs w:val="21"/>
                <w:highlight w:val="none"/>
              </w:rPr>
            </w:pPr>
            <w:r>
              <w:rPr>
                <w:rFonts w:eastAsia="宋体"/>
                <w:sz w:val="21"/>
                <w:szCs w:val="21"/>
                <w:highlight w:val="none"/>
              </w:rPr>
              <w:t>反映机关工作人员对司法局工作的满意度</w:t>
            </w:r>
          </w:p>
        </w:tc>
        <w:tc>
          <w:tcPr>
            <w:tcW w:w="1651" w:type="dxa"/>
            <w:noWrap w:val="0"/>
            <w:vAlign w:val="center"/>
          </w:tcPr>
          <w:p>
            <w:pPr>
              <w:overflowPunct w:val="0"/>
              <w:adjustRightInd w:val="0"/>
              <w:snapToGrid w:val="0"/>
              <w:spacing w:line="260" w:lineRule="exact"/>
              <w:rPr>
                <w:rFonts w:eastAsia="宋体"/>
                <w:sz w:val="21"/>
                <w:szCs w:val="21"/>
                <w:highlight w:val="none"/>
              </w:rPr>
            </w:pPr>
            <w:r>
              <w:rPr>
                <w:rFonts w:eastAsia="宋体"/>
                <w:sz w:val="21"/>
                <w:szCs w:val="21"/>
                <w:highlight w:val="none"/>
              </w:rPr>
              <w:t>达到或超过目标，得权重分的100%，每降低10%，按比例扣减权重分的10%，扣完为止</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602"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95</w:t>
            </w: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25" w:type="dxa"/>
            <w:vMerge w:val="continue"/>
            <w:noWrap w:val="0"/>
            <w:vAlign w:val="center"/>
          </w:tcPr>
          <w:p>
            <w:pPr>
              <w:overflowPunct w:val="0"/>
              <w:adjustRightInd w:val="0"/>
              <w:snapToGrid w:val="0"/>
              <w:spacing w:line="260" w:lineRule="exact"/>
              <w:jc w:val="center"/>
              <w:rPr>
                <w:rFonts w:eastAsia="宋体"/>
                <w:sz w:val="21"/>
                <w:szCs w:val="21"/>
              </w:rPr>
            </w:pPr>
          </w:p>
        </w:tc>
        <w:tc>
          <w:tcPr>
            <w:tcW w:w="826" w:type="dxa"/>
            <w:vMerge w:val="continue"/>
            <w:noWrap w:val="0"/>
            <w:vAlign w:val="center"/>
          </w:tcPr>
          <w:p>
            <w:pPr>
              <w:overflowPunct w:val="0"/>
              <w:adjustRightInd w:val="0"/>
              <w:snapToGrid w:val="0"/>
              <w:spacing w:line="260" w:lineRule="exact"/>
              <w:jc w:val="center"/>
              <w:rPr>
                <w:rFonts w:eastAsia="宋体"/>
                <w:sz w:val="21"/>
                <w:szCs w:val="21"/>
              </w:rPr>
            </w:pPr>
          </w:p>
        </w:tc>
        <w:tc>
          <w:tcPr>
            <w:tcW w:w="1112" w:type="dxa"/>
            <w:noWrap w:val="0"/>
            <w:vAlign w:val="center"/>
          </w:tcPr>
          <w:p>
            <w:pPr>
              <w:overflowPunct w:val="0"/>
              <w:adjustRightInd w:val="0"/>
              <w:snapToGrid w:val="0"/>
              <w:spacing w:line="260" w:lineRule="exact"/>
              <w:rPr>
                <w:rFonts w:eastAsia="宋体"/>
                <w:sz w:val="21"/>
                <w:szCs w:val="21"/>
              </w:rPr>
            </w:pPr>
            <w:r>
              <w:rPr>
                <w:rFonts w:eastAsia="宋体"/>
                <w:sz w:val="21"/>
                <w:szCs w:val="21"/>
              </w:rPr>
              <w:t>检察机关对派出的人民监督员满意度</w:t>
            </w:r>
          </w:p>
        </w:tc>
        <w:tc>
          <w:tcPr>
            <w:tcW w:w="1702" w:type="dxa"/>
            <w:noWrap w:val="0"/>
            <w:vAlign w:val="center"/>
          </w:tcPr>
          <w:p>
            <w:pPr>
              <w:overflowPunct w:val="0"/>
              <w:adjustRightInd w:val="0"/>
              <w:snapToGrid w:val="0"/>
              <w:spacing w:line="260" w:lineRule="exact"/>
              <w:rPr>
                <w:rFonts w:eastAsia="宋体"/>
                <w:sz w:val="21"/>
                <w:szCs w:val="21"/>
              </w:rPr>
            </w:pPr>
            <w:r>
              <w:rPr>
                <w:rFonts w:eastAsia="宋体"/>
                <w:sz w:val="21"/>
                <w:szCs w:val="21"/>
              </w:rPr>
              <w:t>反映各级检察机关对我局指派的人民监督员工作评价</w:t>
            </w:r>
          </w:p>
        </w:tc>
        <w:tc>
          <w:tcPr>
            <w:tcW w:w="1651" w:type="dxa"/>
            <w:noWrap w:val="0"/>
            <w:vAlign w:val="center"/>
          </w:tcPr>
          <w:p>
            <w:pPr>
              <w:overflowPunct w:val="0"/>
              <w:adjustRightInd w:val="0"/>
              <w:snapToGrid w:val="0"/>
              <w:spacing w:line="260" w:lineRule="exact"/>
              <w:rPr>
                <w:rFonts w:eastAsia="宋体"/>
                <w:sz w:val="21"/>
                <w:szCs w:val="21"/>
              </w:rPr>
            </w:pPr>
            <w:r>
              <w:rPr>
                <w:rFonts w:eastAsia="宋体"/>
                <w:sz w:val="21"/>
                <w:szCs w:val="21"/>
              </w:rPr>
              <w:t>检察机关对人民监督员工作全部满意得权重分值100%，出现1次不满意不得分</w:t>
            </w:r>
          </w:p>
        </w:tc>
        <w:tc>
          <w:tcPr>
            <w:tcW w:w="630"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文字描述</w:t>
            </w:r>
          </w:p>
        </w:tc>
        <w:tc>
          <w:tcPr>
            <w:tcW w:w="602" w:type="dxa"/>
            <w:noWrap w:val="0"/>
            <w:vAlign w:val="center"/>
          </w:tcPr>
          <w:p>
            <w:pPr>
              <w:overflowPunct w:val="0"/>
              <w:adjustRightInd w:val="0"/>
              <w:snapToGrid w:val="0"/>
              <w:spacing w:line="260" w:lineRule="exact"/>
              <w:jc w:val="center"/>
              <w:rPr>
                <w:rFonts w:eastAsia="宋体"/>
                <w:sz w:val="21"/>
                <w:szCs w:val="21"/>
              </w:rPr>
            </w:pPr>
          </w:p>
        </w:tc>
        <w:tc>
          <w:tcPr>
            <w:tcW w:w="686"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满意</w:t>
            </w:r>
          </w:p>
        </w:tc>
        <w:tc>
          <w:tcPr>
            <w:tcW w:w="1033" w:type="dxa"/>
            <w:noWrap w:val="0"/>
            <w:vAlign w:val="center"/>
          </w:tcPr>
          <w:p>
            <w:pPr>
              <w:overflowPunct w:val="0"/>
              <w:adjustRightInd w:val="0"/>
              <w:snapToGrid w:val="0"/>
              <w:spacing w:line="260" w:lineRule="exact"/>
              <w:jc w:val="center"/>
              <w:rPr>
                <w:rFonts w:eastAsia="宋体"/>
                <w:sz w:val="21"/>
                <w:szCs w:val="21"/>
              </w:rPr>
            </w:pPr>
            <w:r>
              <w:rPr>
                <w:rFonts w:eastAsia="宋体"/>
                <w:sz w:val="21"/>
                <w:szCs w:val="21"/>
              </w:rPr>
              <w:t>工作要求</w:t>
            </w:r>
          </w:p>
        </w:tc>
      </w:tr>
    </w:tbl>
    <w:p>
      <w:pPr>
        <w:numPr>
          <w:ilvl w:val="0"/>
          <w:numId w:val="0"/>
        </w:numPr>
        <w:spacing w:before="0" w:after="0" w:line="240" w:lineRule="auto"/>
        <w:jc w:val="left"/>
        <w:outlineLvl w:val="9"/>
        <w:rPr>
          <w:rFonts w:ascii="方正楷体_GBK" w:hAnsi="方正楷体_GBK" w:eastAsia="方正楷体_GBK" w:cs="方正楷体_GBK"/>
          <w:b/>
          <w:color w:val="0000FF"/>
          <w:sz w:val="32"/>
        </w:rPr>
      </w:pPr>
    </w:p>
    <w:p>
      <w:pPr>
        <w:spacing w:before="0" w:after="0" w:line="240" w:lineRule="auto"/>
        <w:ind w:firstLine="640" w:firstLineChars="200"/>
        <w:jc w:val="left"/>
        <w:outlineLvl w:val="9"/>
        <w:rPr>
          <w:rFonts w:ascii="方正楷体_GBK" w:hAnsi="方正楷体_GBK" w:eastAsia="方正楷体_GBK" w:cs="方正楷体_GBK"/>
          <w:b/>
          <w:color w:val="0000FF"/>
          <w:sz w:val="32"/>
        </w:rPr>
        <w:sectPr>
          <w:footerReference r:id="rId3" w:type="default"/>
          <w:footerReference r:id="rId4" w:type="even"/>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rPr>
        <w:t>第二部分</w:t>
      </w:r>
      <w:r>
        <w:rPr>
          <w:rFonts w:hint="eastAsia" w:ascii="方正楷体_GBK" w:hAnsi="方正楷体_GBK" w:eastAsia="方正楷体_GBK" w:cs="方正楷体_GBK"/>
          <w:b/>
          <w:color w:val="000000"/>
          <w:sz w:val="32"/>
          <w:lang w:val="en-US" w:eastAsia="zh-CN"/>
        </w:rPr>
        <w:t xml:space="preserve">  </w:t>
      </w:r>
      <w:r>
        <w:rPr>
          <w:rFonts w:hint="eastAsia" w:ascii="方正楷体_GBK" w:hAnsi="方正楷体_GBK" w:eastAsia="方正楷体_GBK" w:cs="方正楷体_GBK"/>
          <w:b/>
          <w:color w:val="000000"/>
          <w:sz w:val="32"/>
        </w:rPr>
        <w:t>资金绩效目标</w:t>
      </w:r>
    </w:p>
    <w:p>
      <w:pPr>
        <w:spacing w:before="0" w:after="0"/>
        <w:ind w:firstLine="560" w:firstLineChars="200"/>
        <w:jc w:val="left"/>
        <w:outlineLvl w:val="9"/>
      </w:pPr>
      <w:r>
        <w:rPr>
          <w:rFonts w:ascii="方正仿宋_GBK" w:hAnsi="方正仿宋_GBK" w:eastAsia="方正仿宋_GBK" w:cs="方正仿宋_GBK"/>
          <w:b/>
          <w:color w:val="000000"/>
          <w:sz w:val="28"/>
        </w:rPr>
        <w:t>1、机关工作经费绩效目标表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1.完成内容1维护正常办公秩序，保持环境干净整洁</w:t>
            </w:r>
          </w:p>
          <w:p>
            <w:pPr>
              <w:pStyle w:val="14"/>
            </w:pPr>
            <w:r>
              <w:t>2.完成内容2完成司法行政各项工作任务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垃圾清运次数</w:t>
            </w:r>
          </w:p>
        </w:tc>
        <w:tc>
          <w:tcPr>
            <w:tcW w:w="2835" w:type="dxa"/>
            <w:vAlign w:val="center"/>
          </w:tcPr>
          <w:p>
            <w:pPr>
              <w:pStyle w:val="14"/>
            </w:pPr>
            <w:r>
              <w:t>反映每日垃圾清运次数</w:t>
            </w:r>
          </w:p>
        </w:tc>
        <w:tc>
          <w:tcPr>
            <w:tcW w:w="2551" w:type="dxa"/>
            <w:vAlign w:val="center"/>
          </w:tcPr>
          <w:p>
            <w:pPr>
              <w:pStyle w:val="14"/>
            </w:pPr>
            <w:r>
              <w:t>≥1次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机关办公区门卫值班登记巡检次数</w:t>
            </w:r>
          </w:p>
        </w:tc>
        <w:tc>
          <w:tcPr>
            <w:tcW w:w="2835" w:type="dxa"/>
            <w:vAlign w:val="center"/>
          </w:tcPr>
          <w:p>
            <w:pPr>
              <w:pStyle w:val="14"/>
            </w:pPr>
            <w:r>
              <w:t>机关办公区门卫值班登记巡检次数</w:t>
            </w:r>
          </w:p>
        </w:tc>
        <w:tc>
          <w:tcPr>
            <w:tcW w:w="2551" w:type="dxa"/>
            <w:vAlign w:val="center"/>
          </w:tcPr>
          <w:p>
            <w:pPr>
              <w:pStyle w:val="14"/>
            </w:pPr>
            <w:r>
              <w:t>≥200次</w:t>
            </w:r>
          </w:p>
        </w:tc>
        <w:tc>
          <w:tcPr>
            <w:tcW w:w="2268" w:type="dxa"/>
            <w:vAlign w:val="center"/>
          </w:tcPr>
          <w:p>
            <w:pPr>
              <w:pStyle w:val="14"/>
            </w:pPr>
            <w:r>
              <w:t>机关门卫值班记录本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公共设备正常运行天数</w:t>
            </w:r>
          </w:p>
        </w:tc>
        <w:tc>
          <w:tcPr>
            <w:tcW w:w="2835" w:type="dxa"/>
            <w:vAlign w:val="center"/>
          </w:tcPr>
          <w:p>
            <w:pPr>
              <w:pStyle w:val="14"/>
            </w:pPr>
            <w:r>
              <w:t>公共设备正常运行天数</w:t>
            </w:r>
          </w:p>
        </w:tc>
        <w:tc>
          <w:tcPr>
            <w:tcW w:w="2551" w:type="dxa"/>
            <w:vAlign w:val="center"/>
          </w:tcPr>
          <w:p>
            <w:pPr>
              <w:pStyle w:val="14"/>
            </w:pPr>
            <w:r>
              <w:t>365天</w:t>
            </w:r>
          </w:p>
        </w:tc>
        <w:tc>
          <w:tcPr>
            <w:tcW w:w="2268" w:type="dxa"/>
            <w:vAlign w:val="center"/>
          </w:tcPr>
          <w:p>
            <w:pPr>
              <w:pStyle w:val="14"/>
            </w:pPr>
            <w:r>
              <w:t>公共设施设备故障检修台账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物业人员出勤率</w:t>
            </w:r>
          </w:p>
        </w:tc>
        <w:tc>
          <w:tcPr>
            <w:tcW w:w="2835" w:type="dxa"/>
            <w:vAlign w:val="center"/>
          </w:tcPr>
          <w:p>
            <w:pPr>
              <w:pStyle w:val="14"/>
            </w:pPr>
            <w:r>
              <w:t>反映物业管理人员出勤情况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反映支付物业服务费是否及时</w:t>
            </w:r>
          </w:p>
        </w:tc>
        <w:tc>
          <w:tcPr>
            <w:tcW w:w="2551" w:type="dxa"/>
            <w:vAlign w:val="center"/>
          </w:tcPr>
          <w:p>
            <w:pPr>
              <w:pStyle w:val="14"/>
            </w:pPr>
            <w:r>
              <w:t>≤2天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差旅费成本</w:t>
            </w:r>
          </w:p>
        </w:tc>
        <w:tc>
          <w:tcPr>
            <w:tcW w:w="2835" w:type="dxa"/>
            <w:vAlign w:val="center"/>
          </w:tcPr>
          <w:p>
            <w:pPr>
              <w:pStyle w:val="14"/>
            </w:pPr>
            <w:r>
              <w:t>差旅费支出符合廊坊市差旅费管理办法</w:t>
            </w:r>
          </w:p>
        </w:tc>
        <w:tc>
          <w:tcPr>
            <w:tcW w:w="2551" w:type="dxa"/>
            <w:vAlign w:val="center"/>
          </w:tcPr>
          <w:p>
            <w:pPr>
              <w:pStyle w:val="14"/>
            </w:pPr>
            <w:r>
              <w:t>符合</w:t>
            </w:r>
          </w:p>
        </w:tc>
        <w:tc>
          <w:tcPr>
            <w:tcW w:w="2268" w:type="dxa"/>
            <w:vAlign w:val="center"/>
          </w:tcPr>
          <w:p>
            <w:pPr>
              <w:pStyle w:val="14"/>
            </w:pPr>
            <w:r>
              <w:t>廊坊市差旅费管理办法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反映预算项目实际支出情况</w:t>
            </w:r>
          </w:p>
        </w:tc>
        <w:tc>
          <w:tcPr>
            <w:tcW w:w="2551" w:type="dxa"/>
            <w:vAlign w:val="center"/>
          </w:tcPr>
          <w:p>
            <w:pPr>
              <w:pStyle w:val="14"/>
            </w:pPr>
            <w:r>
              <w:t>100%</w:t>
            </w:r>
          </w:p>
        </w:tc>
        <w:tc>
          <w:tcPr>
            <w:tcW w:w="2268" w:type="dxa"/>
            <w:vAlign w:val="center"/>
          </w:tcPr>
          <w:p>
            <w:pPr>
              <w:pStyle w:val="14"/>
            </w:pPr>
            <w:r>
              <w:t xml:space="preserve">预算文本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物业服务费单位成本</w:t>
            </w:r>
          </w:p>
        </w:tc>
        <w:tc>
          <w:tcPr>
            <w:tcW w:w="2835" w:type="dxa"/>
            <w:vAlign w:val="center"/>
          </w:tcPr>
          <w:p>
            <w:pPr>
              <w:pStyle w:val="14"/>
            </w:pPr>
            <w:r>
              <w:t>反映物业服务费每月支出</w:t>
            </w:r>
          </w:p>
        </w:tc>
        <w:tc>
          <w:tcPr>
            <w:tcW w:w="2551" w:type="dxa"/>
            <w:vAlign w:val="center"/>
          </w:tcPr>
          <w:p>
            <w:pPr>
              <w:pStyle w:val="14"/>
            </w:pPr>
            <w:r>
              <w:t>5.4万元</w:t>
            </w:r>
          </w:p>
        </w:tc>
        <w:tc>
          <w:tcPr>
            <w:tcW w:w="2268" w:type="dxa"/>
            <w:vAlign w:val="center"/>
          </w:tcPr>
          <w:p>
            <w:pPr>
              <w:pStyle w:val="14"/>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门前三包合格</w:t>
            </w:r>
          </w:p>
        </w:tc>
        <w:tc>
          <w:tcPr>
            <w:tcW w:w="2835" w:type="dxa"/>
            <w:vAlign w:val="center"/>
          </w:tcPr>
          <w:p>
            <w:pPr>
              <w:pStyle w:val="14"/>
            </w:pPr>
            <w:r>
              <w:t>反映物业管理人员对机关物业管理水平</w:t>
            </w:r>
          </w:p>
        </w:tc>
        <w:tc>
          <w:tcPr>
            <w:tcW w:w="2551" w:type="dxa"/>
            <w:vAlign w:val="center"/>
          </w:tcPr>
          <w:p>
            <w:pPr>
              <w:pStyle w:val="14"/>
            </w:pPr>
            <w:r>
              <w:t>合格</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反映机关工作人员对物业管理工作满意度</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2、“12348”公共法律服务热线和法律援助工作经费绩效目标表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1.目标内容1提高”12348“法律服务热线工作服务质量</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接受咨询量增长率</w:t>
            </w:r>
          </w:p>
        </w:tc>
        <w:tc>
          <w:tcPr>
            <w:tcW w:w="2835" w:type="dxa"/>
            <w:vAlign w:val="center"/>
          </w:tcPr>
          <w:p>
            <w:pPr>
              <w:pStyle w:val="14"/>
            </w:pPr>
            <w:r>
              <w:t>反映接受咨询量增长情况</w:t>
            </w:r>
          </w:p>
        </w:tc>
        <w:tc>
          <w:tcPr>
            <w:tcW w:w="2551" w:type="dxa"/>
            <w:vAlign w:val="center"/>
          </w:tcPr>
          <w:p>
            <w:pPr>
              <w:pStyle w:val="14"/>
            </w:pPr>
            <w:r>
              <w:t>≥10%</w:t>
            </w:r>
          </w:p>
        </w:tc>
        <w:tc>
          <w:tcPr>
            <w:tcW w:w="2268" w:type="dxa"/>
            <w:vAlign w:val="center"/>
          </w:tcPr>
          <w:p>
            <w:pPr>
              <w:pStyle w:val="14"/>
            </w:pPr>
            <w:r>
              <w:t>工作计划平台统计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服务规范率</w:t>
            </w:r>
          </w:p>
        </w:tc>
        <w:tc>
          <w:tcPr>
            <w:tcW w:w="2835" w:type="dxa"/>
            <w:vAlign w:val="center"/>
          </w:tcPr>
          <w:p>
            <w:pPr>
              <w:pStyle w:val="14"/>
            </w:pPr>
            <w:r>
              <w:t>反映提供服务规范率</w:t>
            </w:r>
          </w:p>
        </w:tc>
        <w:tc>
          <w:tcPr>
            <w:tcW w:w="2551" w:type="dxa"/>
            <w:vAlign w:val="center"/>
          </w:tcPr>
          <w:p>
            <w:pPr>
              <w:pStyle w:val="14"/>
            </w:pPr>
            <w:r>
              <w:t>100%</w:t>
            </w:r>
          </w:p>
        </w:tc>
        <w:tc>
          <w:tcPr>
            <w:tcW w:w="2268" w:type="dxa"/>
            <w:vAlign w:val="center"/>
          </w:tcPr>
          <w:p>
            <w:pPr>
              <w:pStyle w:val="14"/>
            </w:pPr>
            <w:r>
              <w:t>工作计划平台统计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及时解答法律咨询</w:t>
            </w:r>
          </w:p>
        </w:tc>
        <w:tc>
          <w:tcPr>
            <w:tcW w:w="2835" w:type="dxa"/>
            <w:vAlign w:val="center"/>
          </w:tcPr>
          <w:p>
            <w:pPr>
              <w:pStyle w:val="14"/>
            </w:pPr>
            <w:r>
              <w:t>反映是否及时解答法律咨询</w:t>
            </w:r>
          </w:p>
        </w:tc>
        <w:tc>
          <w:tcPr>
            <w:tcW w:w="2551" w:type="dxa"/>
            <w:vAlign w:val="center"/>
          </w:tcPr>
          <w:p>
            <w:pPr>
              <w:pStyle w:val="14"/>
            </w:pPr>
            <w:r>
              <w:t>及时</w:t>
            </w:r>
          </w:p>
        </w:tc>
        <w:tc>
          <w:tcPr>
            <w:tcW w:w="2268" w:type="dxa"/>
            <w:vAlign w:val="center"/>
          </w:tcPr>
          <w:p>
            <w:pPr>
              <w:pStyle w:val="14"/>
            </w:pPr>
            <w:r>
              <w:t>工作计划平台统计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反映”12348“法律服务热线工作支出情况</w:t>
            </w:r>
          </w:p>
        </w:tc>
        <w:tc>
          <w:tcPr>
            <w:tcW w:w="2551" w:type="dxa"/>
            <w:vAlign w:val="center"/>
          </w:tcPr>
          <w:p>
            <w:pPr>
              <w:pStyle w:val="14"/>
            </w:pPr>
            <w:r>
              <w:t>100%</w:t>
            </w:r>
          </w:p>
        </w:tc>
        <w:tc>
          <w:tcPr>
            <w:tcW w:w="2268" w:type="dxa"/>
            <w:vAlign w:val="center"/>
          </w:tcPr>
          <w:p>
            <w:pPr>
              <w:pStyle w:val="14"/>
            </w:pPr>
            <w:r>
              <w:t>工作计划预算文本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提高人民群众满意度</w:t>
            </w:r>
          </w:p>
        </w:tc>
        <w:tc>
          <w:tcPr>
            <w:tcW w:w="2835" w:type="dxa"/>
            <w:vAlign w:val="center"/>
          </w:tcPr>
          <w:p>
            <w:pPr>
              <w:pStyle w:val="14"/>
            </w:pPr>
            <w:r>
              <w:t>提高人民群众满意度</w:t>
            </w:r>
          </w:p>
        </w:tc>
        <w:tc>
          <w:tcPr>
            <w:tcW w:w="2551" w:type="dxa"/>
            <w:vAlign w:val="center"/>
          </w:tcPr>
          <w:p>
            <w:pPr>
              <w:pStyle w:val="14"/>
            </w:pPr>
            <w:r>
              <w:t>提高</w:t>
            </w:r>
          </w:p>
        </w:tc>
        <w:tc>
          <w:tcPr>
            <w:tcW w:w="2268" w:type="dxa"/>
            <w:vAlign w:val="center"/>
          </w:tcPr>
          <w:p>
            <w:pPr>
              <w:pStyle w:val="14"/>
            </w:pPr>
            <w:r>
              <w:t>工作计划平台统计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满意度评价表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3、办公楼搬迁维修改造市级经费绩效目标表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1.目标内容1完成楼体整体修缮</w:t>
            </w:r>
          </w:p>
          <w:p>
            <w:pPr>
              <w:pStyle w:val="14"/>
            </w:pPr>
            <w:r>
              <w:t>2.目标内容2完成地面及绿化整治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钢结构通道数量</w:t>
            </w:r>
          </w:p>
        </w:tc>
        <w:tc>
          <w:tcPr>
            <w:tcW w:w="2835" w:type="dxa"/>
            <w:vAlign w:val="center"/>
          </w:tcPr>
          <w:p>
            <w:pPr>
              <w:pStyle w:val="14"/>
            </w:pPr>
            <w:r>
              <w:t>钢结构通道数量</w:t>
            </w:r>
          </w:p>
        </w:tc>
        <w:tc>
          <w:tcPr>
            <w:tcW w:w="2551" w:type="dxa"/>
            <w:vAlign w:val="center"/>
          </w:tcPr>
          <w:p>
            <w:pPr>
              <w:pStyle w:val="14"/>
            </w:pPr>
            <w:r>
              <w:t>1个</w:t>
            </w:r>
          </w:p>
        </w:tc>
        <w:tc>
          <w:tcPr>
            <w:tcW w:w="2268" w:type="dxa"/>
            <w:vAlign w:val="center"/>
          </w:tcPr>
          <w:p>
            <w:pPr>
              <w:pStyle w:val="14"/>
            </w:pPr>
            <w:r>
              <w:t>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维修工程验收合格</w:t>
            </w:r>
          </w:p>
        </w:tc>
        <w:tc>
          <w:tcPr>
            <w:tcW w:w="2835" w:type="dxa"/>
            <w:vAlign w:val="center"/>
          </w:tcPr>
          <w:p>
            <w:pPr>
              <w:pStyle w:val="14"/>
            </w:pPr>
            <w:r>
              <w:t>维修工程验收合格</w:t>
            </w:r>
          </w:p>
        </w:tc>
        <w:tc>
          <w:tcPr>
            <w:tcW w:w="2551" w:type="dxa"/>
            <w:vAlign w:val="center"/>
          </w:tcPr>
          <w:p>
            <w:pPr>
              <w:pStyle w:val="14"/>
            </w:pPr>
            <w:r>
              <w:t>合格</w:t>
            </w:r>
          </w:p>
        </w:tc>
        <w:tc>
          <w:tcPr>
            <w:tcW w:w="2268" w:type="dxa"/>
            <w:vAlign w:val="center"/>
          </w:tcPr>
          <w:p>
            <w:pPr>
              <w:pStyle w:val="14"/>
            </w:pPr>
            <w:r>
              <w:t xml:space="preserve"> 实际要求</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改造及时性</w:t>
            </w:r>
          </w:p>
        </w:tc>
        <w:tc>
          <w:tcPr>
            <w:tcW w:w="2835" w:type="dxa"/>
            <w:vAlign w:val="center"/>
          </w:tcPr>
          <w:p>
            <w:pPr>
              <w:pStyle w:val="14"/>
            </w:pPr>
            <w:r>
              <w:t>年底前完成改造工程</w:t>
            </w:r>
          </w:p>
        </w:tc>
        <w:tc>
          <w:tcPr>
            <w:tcW w:w="2551" w:type="dxa"/>
            <w:vAlign w:val="center"/>
          </w:tcPr>
          <w:p>
            <w:pPr>
              <w:pStyle w:val="14"/>
            </w:pPr>
            <w:r>
              <w:t>及时</w:t>
            </w:r>
          </w:p>
        </w:tc>
        <w:tc>
          <w:tcPr>
            <w:tcW w:w="2268" w:type="dxa"/>
            <w:vAlign w:val="center"/>
          </w:tcPr>
          <w:p>
            <w:pPr>
              <w:pStyle w:val="14"/>
            </w:pPr>
            <w:r>
              <w:t>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维修成本</w:t>
            </w:r>
          </w:p>
        </w:tc>
        <w:tc>
          <w:tcPr>
            <w:tcW w:w="2835" w:type="dxa"/>
            <w:vAlign w:val="center"/>
          </w:tcPr>
          <w:p>
            <w:pPr>
              <w:pStyle w:val="14"/>
            </w:pPr>
            <w:r>
              <w:t>维修成本情况</w:t>
            </w:r>
          </w:p>
        </w:tc>
        <w:tc>
          <w:tcPr>
            <w:tcW w:w="2551" w:type="dxa"/>
            <w:vAlign w:val="center"/>
          </w:tcPr>
          <w:p>
            <w:pPr>
              <w:pStyle w:val="14"/>
            </w:pPr>
            <w:r>
              <w:t>≤80万元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延长建筑使用年限</w:t>
            </w:r>
          </w:p>
        </w:tc>
        <w:tc>
          <w:tcPr>
            <w:tcW w:w="2835" w:type="dxa"/>
            <w:vAlign w:val="center"/>
          </w:tcPr>
          <w:p>
            <w:pPr>
              <w:pStyle w:val="14"/>
            </w:pPr>
            <w:r>
              <w:t>延长建筑使用年限</w:t>
            </w:r>
          </w:p>
        </w:tc>
        <w:tc>
          <w:tcPr>
            <w:tcW w:w="2551" w:type="dxa"/>
            <w:vAlign w:val="center"/>
          </w:tcPr>
          <w:p>
            <w:pPr>
              <w:pStyle w:val="14"/>
            </w:pPr>
            <w:r>
              <w:t>延长</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职工对维修工程满意度</w:t>
            </w:r>
          </w:p>
        </w:tc>
        <w:tc>
          <w:tcPr>
            <w:tcW w:w="2835" w:type="dxa"/>
            <w:vAlign w:val="center"/>
          </w:tcPr>
          <w:p>
            <w:pPr>
              <w:pStyle w:val="14"/>
            </w:pPr>
            <w:r>
              <w:t>职工对维修工程满意度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4、公共法律服务和社区矫正工作业务费绩效目标表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1.目标内容1完成市社区矫正监控中心相关工作</w:t>
            </w:r>
          </w:p>
          <w:p>
            <w:pPr>
              <w:pStyle w:val="14"/>
            </w:pPr>
            <w:r>
              <w:t>2.目标内容2完成法律服务等相关工作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提供服务人数</w:t>
            </w:r>
          </w:p>
        </w:tc>
        <w:tc>
          <w:tcPr>
            <w:tcW w:w="2835" w:type="dxa"/>
            <w:vAlign w:val="center"/>
          </w:tcPr>
          <w:p>
            <w:pPr>
              <w:pStyle w:val="14"/>
            </w:pPr>
            <w:r>
              <w:t>反映购买服务提供人数</w:t>
            </w:r>
          </w:p>
        </w:tc>
        <w:tc>
          <w:tcPr>
            <w:tcW w:w="2551" w:type="dxa"/>
            <w:vAlign w:val="center"/>
          </w:tcPr>
          <w:p>
            <w:pPr>
              <w:pStyle w:val="14"/>
            </w:pPr>
            <w:r>
              <w:t>≥8人</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服务人员出勤率</w:t>
            </w:r>
          </w:p>
        </w:tc>
        <w:tc>
          <w:tcPr>
            <w:tcW w:w="2835" w:type="dxa"/>
            <w:vAlign w:val="center"/>
          </w:tcPr>
          <w:p>
            <w:pPr>
              <w:pStyle w:val="14"/>
            </w:pPr>
            <w:r>
              <w:t>反映服务人员出勤情况</w:t>
            </w:r>
          </w:p>
        </w:tc>
        <w:tc>
          <w:tcPr>
            <w:tcW w:w="2551" w:type="dxa"/>
            <w:vAlign w:val="center"/>
          </w:tcPr>
          <w:p>
            <w:pPr>
              <w:pStyle w:val="14"/>
            </w:pPr>
            <w:r>
              <w:t>100%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报到时间</w:t>
            </w:r>
          </w:p>
        </w:tc>
        <w:tc>
          <w:tcPr>
            <w:tcW w:w="2835" w:type="dxa"/>
            <w:vAlign w:val="center"/>
          </w:tcPr>
          <w:p>
            <w:pPr>
              <w:pStyle w:val="14"/>
            </w:pPr>
            <w:r>
              <w:t>反映合同签订后服务人员是否及时到位</w:t>
            </w:r>
          </w:p>
        </w:tc>
        <w:tc>
          <w:tcPr>
            <w:tcW w:w="2551" w:type="dxa"/>
            <w:vAlign w:val="center"/>
          </w:tcPr>
          <w:p>
            <w:pPr>
              <w:pStyle w:val="14"/>
            </w:pPr>
            <w:r>
              <w:t>≤1天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反映本项目支出情况</w:t>
            </w:r>
          </w:p>
        </w:tc>
        <w:tc>
          <w:tcPr>
            <w:tcW w:w="2551" w:type="dxa"/>
            <w:vAlign w:val="center"/>
          </w:tcPr>
          <w:p>
            <w:pPr>
              <w:pStyle w:val="14"/>
            </w:pPr>
            <w:r>
              <w:t>100%</w:t>
            </w:r>
          </w:p>
        </w:tc>
        <w:tc>
          <w:tcPr>
            <w:tcW w:w="2268" w:type="dxa"/>
            <w:vAlign w:val="center"/>
          </w:tcPr>
          <w:p>
            <w:pPr>
              <w:pStyle w:val="14"/>
            </w:pPr>
            <w:r>
              <w:t>合同、预算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提高公共法律服务和社区矫正管理工作</w:t>
            </w:r>
          </w:p>
        </w:tc>
        <w:tc>
          <w:tcPr>
            <w:tcW w:w="2835" w:type="dxa"/>
            <w:vAlign w:val="center"/>
          </w:tcPr>
          <w:p>
            <w:pPr>
              <w:pStyle w:val="14"/>
            </w:pPr>
            <w:r>
              <w:t>反映购买服务对公共法律服务中心和社区矫正管理工作的影响</w:t>
            </w:r>
          </w:p>
        </w:tc>
        <w:tc>
          <w:tcPr>
            <w:tcW w:w="2551" w:type="dxa"/>
            <w:vAlign w:val="center"/>
          </w:tcPr>
          <w:p>
            <w:pPr>
              <w:pStyle w:val="14"/>
            </w:pPr>
            <w:r>
              <w:t>提升</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管理部门对工作人员满意度</w:t>
            </w:r>
          </w:p>
        </w:tc>
        <w:tc>
          <w:tcPr>
            <w:tcW w:w="2835" w:type="dxa"/>
            <w:vAlign w:val="center"/>
          </w:tcPr>
          <w:p>
            <w:pPr>
              <w:pStyle w:val="14"/>
            </w:pPr>
            <w:r>
              <w:t>反映业务主管处室对服务人员工作的满意度</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、司法业务工作经费绩效目标表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2"/>
            </w:pPr>
            <w:r>
              <w:t>绩效目标</w:t>
            </w:r>
          </w:p>
        </w:tc>
        <w:tc>
          <w:tcPr>
            <w:tcW w:w="12756" w:type="dxa"/>
            <w:tcBorders>
              <w:bottom w:val="single" w:color="FFFFFF" w:sz="6" w:space="0"/>
            </w:tcBorders>
            <w:noWrap w:val="0"/>
            <w:vAlign w:val="center"/>
          </w:tcPr>
          <w:p>
            <w:pPr>
              <w:pStyle w:val="14"/>
            </w:pPr>
            <w:r>
              <w:t>1.目标内容1完成司法行政业务工作目标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2"/>
            </w:pPr>
            <w:r>
              <w:t>一级指标</w:t>
            </w:r>
          </w:p>
        </w:tc>
        <w:tc>
          <w:tcPr>
            <w:tcW w:w="2268" w:type="dxa"/>
            <w:noWrap w:val="0"/>
            <w:vAlign w:val="center"/>
          </w:tcPr>
          <w:p>
            <w:pPr>
              <w:pStyle w:val="12"/>
            </w:pPr>
            <w:r>
              <w:t>二级指标</w:t>
            </w:r>
          </w:p>
        </w:tc>
        <w:tc>
          <w:tcPr>
            <w:tcW w:w="2835" w:type="dxa"/>
            <w:noWrap w:val="0"/>
            <w:vAlign w:val="center"/>
          </w:tcPr>
          <w:p>
            <w:pPr>
              <w:pStyle w:val="12"/>
            </w:pPr>
            <w:r>
              <w:t>三级指标</w:t>
            </w:r>
          </w:p>
        </w:tc>
        <w:tc>
          <w:tcPr>
            <w:tcW w:w="2835" w:type="dxa"/>
            <w:noWrap w:val="0"/>
            <w:vAlign w:val="center"/>
          </w:tcPr>
          <w:p>
            <w:pPr>
              <w:pStyle w:val="12"/>
            </w:pPr>
            <w:r>
              <w:t>绩效指标描述</w:t>
            </w:r>
          </w:p>
        </w:tc>
        <w:tc>
          <w:tcPr>
            <w:tcW w:w="2551" w:type="dxa"/>
            <w:noWrap w:val="0"/>
            <w:vAlign w:val="center"/>
          </w:tcPr>
          <w:p>
            <w:pPr>
              <w:pStyle w:val="12"/>
            </w:pPr>
            <w:r>
              <w:t>指标值</w:t>
            </w:r>
          </w:p>
        </w:tc>
        <w:tc>
          <w:tcPr>
            <w:tcW w:w="2268" w:type="dxa"/>
            <w:noWrap w:val="0"/>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5"/>
            </w:pPr>
            <w:r>
              <w:t>产出指标</w:t>
            </w:r>
          </w:p>
        </w:tc>
        <w:tc>
          <w:tcPr>
            <w:tcW w:w="2268" w:type="dxa"/>
            <w:noWrap w:val="0"/>
            <w:vAlign w:val="center"/>
          </w:tcPr>
          <w:p>
            <w:pPr>
              <w:pStyle w:val="14"/>
            </w:pPr>
            <w:r>
              <w:t>数量指标</w:t>
            </w:r>
          </w:p>
        </w:tc>
        <w:tc>
          <w:tcPr>
            <w:tcW w:w="2835" w:type="dxa"/>
            <w:noWrap w:val="0"/>
            <w:vAlign w:val="center"/>
          </w:tcPr>
          <w:p>
            <w:pPr>
              <w:pStyle w:val="14"/>
            </w:pPr>
            <w:r>
              <w:t>培训次数</w:t>
            </w:r>
          </w:p>
        </w:tc>
        <w:tc>
          <w:tcPr>
            <w:tcW w:w="2835" w:type="dxa"/>
            <w:noWrap w:val="0"/>
            <w:vAlign w:val="center"/>
          </w:tcPr>
          <w:p>
            <w:pPr>
              <w:pStyle w:val="14"/>
            </w:pPr>
            <w:r>
              <w:t>反映组织行政执法培训次数</w:t>
            </w:r>
          </w:p>
        </w:tc>
        <w:tc>
          <w:tcPr>
            <w:tcW w:w="2551" w:type="dxa"/>
            <w:noWrap w:val="0"/>
            <w:vAlign w:val="center"/>
          </w:tcPr>
          <w:p>
            <w:pPr>
              <w:pStyle w:val="14"/>
            </w:pPr>
            <w:r>
              <w:t>1次</w:t>
            </w:r>
          </w:p>
        </w:tc>
        <w:tc>
          <w:tcPr>
            <w:tcW w:w="2268" w:type="dxa"/>
            <w:noWrap w:val="0"/>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质量指标</w:t>
            </w:r>
          </w:p>
        </w:tc>
        <w:tc>
          <w:tcPr>
            <w:tcW w:w="2835" w:type="dxa"/>
            <w:noWrap w:val="0"/>
            <w:vAlign w:val="center"/>
          </w:tcPr>
          <w:p>
            <w:pPr>
              <w:pStyle w:val="14"/>
            </w:pPr>
            <w:r>
              <w:t>考试合格率</w:t>
            </w:r>
          </w:p>
        </w:tc>
        <w:tc>
          <w:tcPr>
            <w:tcW w:w="2835" w:type="dxa"/>
            <w:noWrap w:val="0"/>
            <w:vAlign w:val="center"/>
          </w:tcPr>
          <w:p>
            <w:pPr>
              <w:pStyle w:val="14"/>
            </w:pPr>
            <w:r>
              <w:t>反映执法培训考试合格率</w:t>
            </w:r>
          </w:p>
        </w:tc>
        <w:tc>
          <w:tcPr>
            <w:tcW w:w="2551" w:type="dxa"/>
            <w:noWrap w:val="0"/>
            <w:vAlign w:val="center"/>
          </w:tcPr>
          <w:p>
            <w:pPr>
              <w:pStyle w:val="14"/>
            </w:pPr>
            <w:r>
              <w:t>≥90%</w:t>
            </w:r>
          </w:p>
        </w:tc>
        <w:tc>
          <w:tcPr>
            <w:tcW w:w="2268" w:type="dxa"/>
            <w:noWrap w:val="0"/>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时效指标</w:t>
            </w:r>
          </w:p>
        </w:tc>
        <w:tc>
          <w:tcPr>
            <w:tcW w:w="2835" w:type="dxa"/>
            <w:noWrap w:val="0"/>
            <w:vAlign w:val="center"/>
          </w:tcPr>
          <w:p>
            <w:pPr>
              <w:pStyle w:val="14"/>
            </w:pPr>
            <w:r>
              <w:t>指派工作及时性</w:t>
            </w:r>
          </w:p>
        </w:tc>
        <w:tc>
          <w:tcPr>
            <w:tcW w:w="2835" w:type="dxa"/>
            <w:noWrap w:val="0"/>
            <w:vAlign w:val="center"/>
          </w:tcPr>
          <w:p>
            <w:pPr>
              <w:pStyle w:val="14"/>
            </w:pPr>
            <w:r>
              <w:t>反映指派人民监督员是否及时</w:t>
            </w:r>
          </w:p>
        </w:tc>
        <w:tc>
          <w:tcPr>
            <w:tcW w:w="2551" w:type="dxa"/>
            <w:noWrap w:val="0"/>
            <w:vAlign w:val="center"/>
          </w:tcPr>
          <w:p>
            <w:pPr>
              <w:pStyle w:val="14"/>
            </w:pPr>
            <w:r>
              <w:t>及时</w:t>
            </w:r>
          </w:p>
        </w:tc>
        <w:tc>
          <w:tcPr>
            <w:tcW w:w="2268" w:type="dxa"/>
            <w:noWrap w:val="0"/>
            <w:vAlign w:val="center"/>
          </w:tcPr>
          <w:p>
            <w:pPr>
              <w:pStyle w:val="14"/>
            </w:pPr>
            <w:r>
              <w:t>工作档案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4"/>
            </w:pPr>
            <w:r>
              <w:t>成本指标</w:t>
            </w:r>
          </w:p>
        </w:tc>
        <w:tc>
          <w:tcPr>
            <w:tcW w:w="2835" w:type="dxa"/>
            <w:noWrap w:val="0"/>
            <w:vAlign w:val="center"/>
          </w:tcPr>
          <w:p>
            <w:pPr>
              <w:pStyle w:val="14"/>
            </w:pPr>
            <w:r>
              <w:t>成本控制率</w:t>
            </w:r>
          </w:p>
        </w:tc>
        <w:tc>
          <w:tcPr>
            <w:tcW w:w="2835" w:type="dxa"/>
            <w:noWrap w:val="0"/>
            <w:vAlign w:val="center"/>
          </w:tcPr>
          <w:p>
            <w:pPr>
              <w:pStyle w:val="14"/>
            </w:pPr>
            <w:r>
              <w:t>反映此项预算实际支出成本</w:t>
            </w:r>
          </w:p>
        </w:tc>
        <w:tc>
          <w:tcPr>
            <w:tcW w:w="2551" w:type="dxa"/>
            <w:noWrap w:val="0"/>
            <w:vAlign w:val="center"/>
          </w:tcPr>
          <w:p>
            <w:pPr>
              <w:pStyle w:val="14"/>
            </w:pPr>
            <w:r>
              <w:t>100%</w:t>
            </w:r>
          </w:p>
        </w:tc>
        <w:tc>
          <w:tcPr>
            <w:tcW w:w="2268" w:type="dxa"/>
            <w:noWrap w:val="0"/>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效益指标</w:t>
            </w:r>
          </w:p>
        </w:tc>
        <w:tc>
          <w:tcPr>
            <w:tcW w:w="2268" w:type="dxa"/>
            <w:noWrap w:val="0"/>
            <w:vAlign w:val="center"/>
          </w:tcPr>
          <w:p>
            <w:pPr>
              <w:pStyle w:val="14"/>
            </w:pPr>
            <w:r>
              <w:t>社会效益指标</w:t>
            </w:r>
          </w:p>
        </w:tc>
        <w:tc>
          <w:tcPr>
            <w:tcW w:w="2835" w:type="dxa"/>
            <w:noWrap w:val="0"/>
            <w:vAlign w:val="center"/>
          </w:tcPr>
          <w:p>
            <w:pPr>
              <w:pStyle w:val="14"/>
            </w:pPr>
            <w:r>
              <w:t>提高行政执法行政监督人员业务能力</w:t>
            </w:r>
          </w:p>
        </w:tc>
        <w:tc>
          <w:tcPr>
            <w:tcW w:w="2835" w:type="dxa"/>
            <w:noWrap w:val="0"/>
            <w:vAlign w:val="center"/>
          </w:tcPr>
          <w:p>
            <w:pPr>
              <w:pStyle w:val="14"/>
            </w:pPr>
            <w:r>
              <w:t>反映行政执法行政监督人员执法、监督是否提高</w:t>
            </w:r>
          </w:p>
        </w:tc>
        <w:tc>
          <w:tcPr>
            <w:tcW w:w="2551" w:type="dxa"/>
            <w:noWrap w:val="0"/>
            <w:vAlign w:val="center"/>
          </w:tcPr>
          <w:p>
            <w:pPr>
              <w:pStyle w:val="14"/>
            </w:pPr>
            <w:r>
              <w:t>提高行政执法行政监督人员业务能力</w:t>
            </w:r>
          </w:p>
        </w:tc>
        <w:tc>
          <w:tcPr>
            <w:tcW w:w="2268" w:type="dxa"/>
            <w:noWrap w:val="0"/>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5"/>
            </w:pPr>
            <w:r>
              <w:t>满意度指标</w:t>
            </w:r>
          </w:p>
        </w:tc>
        <w:tc>
          <w:tcPr>
            <w:tcW w:w="2268" w:type="dxa"/>
            <w:noWrap w:val="0"/>
            <w:vAlign w:val="center"/>
          </w:tcPr>
          <w:p>
            <w:pPr>
              <w:pStyle w:val="14"/>
            </w:pPr>
            <w:r>
              <w:t>服务对象满意度指标</w:t>
            </w:r>
          </w:p>
        </w:tc>
        <w:tc>
          <w:tcPr>
            <w:tcW w:w="2835" w:type="dxa"/>
            <w:noWrap w:val="0"/>
            <w:vAlign w:val="center"/>
          </w:tcPr>
          <w:p>
            <w:pPr>
              <w:pStyle w:val="14"/>
            </w:pPr>
            <w:r>
              <w:t>培训人员满意度</w:t>
            </w:r>
          </w:p>
        </w:tc>
        <w:tc>
          <w:tcPr>
            <w:tcW w:w="2835" w:type="dxa"/>
            <w:noWrap w:val="0"/>
            <w:vAlign w:val="center"/>
          </w:tcPr>
          <w:p>
            <w:pPr>
              <w:pStyle w:val="14"/>
            </w:pPr>
            <w:r>
              <w:t>反映参培人员对行政执法培训满意度</w:t>
            </w:r>
          </w:p>
        </w:tc>
        <w:tc>
          <w:tcPr>
            <w:tcW w:w="2551" w:type="dxa"/>
            <w:noWrap w:val="0"/>
            <w:vAlign w:val="center"/>
          </w:tcPr>
          <w:p>
            <w:pPr>
              <w:pStyle w:val="14"/>
            </w:pPr>
            <w:r>
              <w:t>≥95%</w:t>
            </w:r>
          </w:p>
        </w:tc>
        <w:tc>
          <w:tcPr>
            <w:tcW w:w="2268" w:type="dxa"/>
            <w:noWrap w:val="0"/>
            <w:vAlign w:val="center"/>
          </w:tcPr>
          <w:p>
            <w:pPr>
              <w:pStyle w:val="14"/>
            </w:pPr>
            <w:r>
              <w:t>满意度调查表</w:t>
            </w:r>
          </w:p>
        </w:tc>
      </w:tr>
    </w:tbl>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firstLineChars="200"/>
        <w:jc w:val="left"/>
        <w:outlineLvl w:val="9"/>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、物业服务费绩效目标表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1.目标内容1保障机关场所安全，维护正常办公秩序，保持环境干净整洁。</w:t>
            </w:r>
          </w:p>
          <w:p>
            <w:pPr>
              <w:pStyle w:val="14"/>
            </w:pPr>
            <w:r>
              <w:t>2.目标内容2单位门前“三包”工作到位，机关安全保障到位，办公场所干净整洁。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垃圾清运次数</w:t>
            </w:r>
          </w:p>
        </w:tc>
        <w:tc>
          <w:tcPr>
            <w:tcW w:w="2835" w:type="dxa"/>
            <w:vAlign w:val="center"/>
          </w:tcPr>
          <w:p>
            <w:pPr>
              <w:pStyle w:val="14"/>
            </w:pPr>
            <w:r>
              <w:t>每天垃圾清运次数</w:t>
            </w:r>
          </w:p>
        </w:tc>
        <w:tc>
          <w:tcPr>
            <w:tcW w:w="2551" w:type="dxa"/>
            <w:vAlign w:val="center"/>
          </w:tcPr>
          <w:p>
            <w:pPr>
              <w:pStyle w:val="14"/>
            </w:pPr>
            <w:r>
              <w:t>≥1次</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物业人员出勤率</w:t>
            </w:r>
          </w:p>
        </w:tc>
        <w:tc>
          <w:tcPr>
            <w:tcW w:w="2835" w:type="dxa"/>
            <w:vAlign w:val="center"/>
          </w:tcPr>
          <w:p>
            <w:pPr>
              <w:pStyle w:val="14"/>
            </w:pPr>
            <w:r>
              <w:t>反映物业管理人员出勤情况</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支付物业服务费用时效性</w:t>
            </w:r>
          </w:p>
        </w:tc>
        <w:tc>
          <w:tcPr>
            <w:tcW w:w="2835" w:type="dxa"/>
            <w:vAlign w:val="center"/>
          </w:tcPr>
          <w:p>
            <w:pPr>
              <w:pStyle w:val="14"/>
            </w:pPr>
            <w:r>
              <w:t>反映物业服务费支付时间</w:t>
            </w:r>
          </w:p>
        </w:tc>
        <w:tc>
          <w:tcPr>
            <w:tcW w:w="2551" w:type="dxa"/>
            <w:vAlign w:val="center"/>
          </w:tcPr>
          <w:p>
            <w:pPr>
              <w:pStyle w:val="14"/>
            </w:pPr>
            <w:r>
              <w:t>≤10天</w:t>
            </w:r>
          </w:p>
        </w:tc>
        <w:tc>
          <w:tcPr>
            <w:tcW w:w="2268" w:type="dxa"/>
            <w:vAlign w:val="center"/>
          </w:tcPr>
          <w:p>
            <w:pPr>
              <w:pStyle w:val="14"/>
            </w:pPr>
            <w:r>
              <w:t>发票时间、支付时间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反映本项工作实际支出情况</w:t>
            </w:r>
          </w:p>
        </w:tc>
        <w:tc>
          <w:tcPr>
            <w:tcW w:w="2551" w:type="dxa"/>
            <w:vAlign w:val="center"/>
          </w:tcPr>
          <w:p>
            <w:pPr>
              <w:pStyle w:val="14"/>
            </w:pPr>
            <w:r>
              <w:t>100%</w:t>
            </w:r>
          </w:p>
        </w:tc>
        <w:tc>
          <w:tcPr>
            <w:tcW w:w="2268" w:type="dxa"/>
            <w:vAlign w:val="center"/>
          </w:tcPr>
          <w:p>
            <w:pPr>
              <w:pStyle w:val="14"/>
            </w:pPr>
            <w:r>
              <w:t>预算文本、实际支出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门前三包合格</w:t>
            </w:r>
          </w:p>
        </w:tc>
        <w:tc>
          <w:tcPr>
            <w:tcW w:w="2835" w:type="dxa"/>
            <w:vAlign w:val="center"/>
          </w:tcPr>
          <w:p>
            <w:pPr>
              <w:pStyle w:val="14"/>
            </w:pPr>
            <w:r>
              <w:t>门前三包合格</w:t>
            </w:r>
          </w:p>
        </w:tc>
        <w:tc>
          <w:tcPr>
            <w:tcW w:w="2551" w:type="dxa"/>
            <w:vAlign w:val="center"/>
          </w:tcPr>
          <w:p>
            <w:pPr>
              <w:pStyle w:val="14"/>
            </w:pPr>
            <w:r>
              <w:t>合格</w:t>
            </w:r>
          </w:p>
        </w:tc>
        <w:tc>
          <w:tcPr>
            <w:tcW w:w="2268" w:type="dxa"/>
            <w:vAlign w:val="center"/>
          </w:tcPr>
          <w:p>
            <w:pPr>
              <w:pStyle w:val="14"/>
            </w:pPr>
            <w:r>
              <w:t>无“门前三包”不合格通知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反映机关工作人员对物业管理工作满意度</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、行政复议和行政诉讼工作经费绩效目标表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1.目标内容1增强复议应诉工作人员依法行政意识</w:t>
            </w:r>
            <w:r>
              <w:tab/>
            </w:r>
            <w:r>
              <w:tab/>
            </w:r>
            <w:r>
              <w:tab/>
            </w:r>
            <w:r>
              <w:tab/>
            </w:r>
            <w:r>
              <w:tab/>
            </w:r>
            <w:r>
              <w:tab/>
            </w:r>
          </w:p>
          <w:p>
            <w:pPr>
              <w:pStyle w:val="14"/>
            </w:pPr>
          </w:p>
          <w:p>
            <w:pPr>
              <w:pStyle w:val="14"/>
            </w:pPr>
            <w:r>
              <w:t>2.目标内容2全面提高复议应诉工作人员依法行政能力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结案率</w:t>
            </w:r>
          </w:p>
        </w:tc>
        <w:tc>
          <w:tcPr>
            <w:tcW w:w="2835" w:type="dxa"/>
            <w:vAlign w:val="center"/>
          </w:tcPr>
          <w:p>
            <w:pPr>
              <w:pStyle w:val="14"/>
            </w:pPr>
            <w:r>
              <w:t>反映法定期限内结案率</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复议案卷规范化</w:t>
            </w:r>
          </w:p>
        </w:tc>
        <w:tc>
          <w:tcPr>
            <w:tcW w:w="2835" w:type="dxa"/>
            <w:vAlign w:val="center"/>
          </w:tcPr>
          <w:p>
            <w:pPr>
              <w:pStyle w:val="14"/>
            </w:pPr>
            <w:r>
              <w:t>反映复议案卷归档是否符合要求</w:t>
            </w:r>
          </w:p>
        </w:tc>
        <w:tc>
          <w:tcPr>
            <w:tcW w:w="2551" w:type="dxa"/>
            <w:vAlign w:val="center"/>
          </w:tcPr>
          <w:p>
            <w:pPr>
              <w:pStyle w:val="14"/>
            </w:pPr>
            <w:r>
              <w:t>符合要求</w:t>
            </w:r>
          </w:p>
        </w:tc>
        <w:tc>
          <w:tcPr>
            <w:tcW w:w="2268" w:type="dxa"/>
            <w:vAlign w:val="center"/>
          </w:tcPr>
          <w:p>
            <w:pPr>
              <w:pStyle w:val="14"/>
            </w:pPr>
            <w:r>
              <w:t>案卷归档标准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参加诉讼复议及时性</w:t>
            </w:r>
          </w:p>
        </w:tc>
        <w:tc>
          <w:tcPr>
            <w:tcW w:w="2835" w:type="dxa"/>
            <w:vAlign w:val="center"/>
          </w:tcPr>
          <w:p>
            <w:pPr>
              <w:pStyle w:val="14"/>
            </w:pPr>
            <w:r>
              <w:t>反映参加诉讼、复议案件是否及时</w:t>
            </w:r>
          </w:p>
        </w:tc>
        <w:tc>
          <w:tcPr>
            <w:tcW w:w="2551" w:type="dxa"/>
            <w:vAlign w:val="center"/>
          </w:tcPr>
          <w:p>
            <w:pPr>
              <w:pStyle w:val="14"/>
            </w:pPr>
            <w:r>
              <w:t>及时</w:t>
            </w:r>
          </w:p>
        </w:tc>
        <w:tc>
          <w:tcPr>
            <w:tcW w:w="2268" w:type="dxa"/>
            <w:vAlign w:val="center"/>
          </w:tcPr>
          <w:p>
            <w:pPr>
              <w:pStyle w:val="14"/>
            </w:pPr>
            <w:r>
              <w:t>工作档案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反映此项工作实际支出情况</w:t>
            </w:r>
          </w:p>
        </w:tc>
        <w:tc>
          <w:tcPr>
            <w:tcW w:w="2551" w:type="dxa"/>
            <w:vAlign w:val="center"/>
          </w:tcPr>
          <w:p>
            <w:pPr>
              <w:pStyle w:val="14"/>
            </w:pPr>
            <w:r>
              <w:t>100%</w:t>
            </w:r>
          </w:p>
        </w:tc>
        <w:tc>
          <w:tcPr>
            <w:tcW w:w="2268"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提升我市复议案件纠错水平</w:t>
            </w:r>
          </w:p>
        </w:tc>
        <w:tc>
          <w:tcPr>
            <w:tcW w:w="2835" w:type="dxa"/>
            <w:vAlign w:val="center"/>
          </w:tcPr>
          <w:p>
            <w:pPr>
              <w:pStyle w:val="14"/>
            </w:pPr>
            <w:r>
              <w:t>反映对下级机关复议案件纠错水平</w:t>
            </w:r>
          </w:p>
        </w:tc>
        <w:tc>
          <w:tcPr>
            <w:tcW w:w="2551" w:type="dxa"/>
            <w:vAlign w:val="center"/>
          </w:tcPr>
          <w:p>
            <w:pPr>
              <w:pStyle w:val="14"/>
            </w:pPr>
            <w:r>
              <w:t>有效提升</w:t>
            </w:r>
          </w:p>
        </w:tc>
        <w:tc>
          <w:tcPr>
            <w:tcW w:w="2268" w:type="dxa"/>
            <w:vAlign w:val="center"/>
          </w:tcPr>
          <w:p>
            <w:pPr>
              <w:pStyle w:val="14"/>
            </w:pPr>
            <w:r>
              <w:t>工作档案、工作计划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培训满意度</w:t>
            </w:r>
          </w:p>
        </w:tc>
        <w:tc>
          <w:tcPr>
            <w:tcW w:w="2835" w:type="dxa"/>
            <w:vAlign w:val="center"/>
          </w:tcPr>
          <w:p>
            <w:pPr>
              <w:pStyle w:val="14"/>
            </w:pPr>
            <w:r>
              <w:t>反映参培人员对培训工作满意度</w:t>
            </w:r>
          </w:p>
        </w:tc>
        <w:tc>
          <w:tcPr>
            <w:tcW w:w="2551" w:type="dxa"/>
            <w:vAlign w:val="center"/>
          </w:tcPr>
          <w:p>
            <w:pPr>
              <w:pStyle w:val="14"/>
            </w:pPr>
            <w:r>
              <w:t>≥95%</w:t>
            </w:r>
          </w:p>
        </w:tc>
        <w:tc>
          <w:tcPr>
            <w:tcW w:w="2268" w:type="dxa"/>
            <w:vAlign w:val="center"/>
          </w:tcPr>
          <w:p>
            <w:pPr>
              <w:pStyle w:val="14"/>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、戒毒所工作经费绩效目标表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1.依法依规收治强戒人员，实现教育戒治规范化管理，最大限度提升脱瘾脱除质量，所内戒断率达100%，禁戒毒宣传教育普及率稳步提升。</w:t>
            </w:r>
          </w:p>
          <w:p>
            <w:pPr>
              <w:pStyle w:val="14"/>
            </w:pPr>
          </w:p>
          <w:p>
            <w:pPr>
              <w:pStyle w:val="14"/>
            </w:pPr>
            <w:r>
              <w:t>2.通过项目的开展，及时对安防系统中的线路和设备进行检修，保障监控安防系统有效运行，出现安防系统故障及时排除，实现场所监控数据备份留存。</w:t>
            </w:r>
          </w:p>
          <w:p>
            <w:pPr>
              <w:pStyle w:val="14"/>
            </w:pPr>
            <w:r>
              <w:t>3.确保场所水暖电供应，房屋设施设备等重点部位安全运行，场所会议保障及时到位，生活垃圾存放、清运、处置合规及时，环境卫生及美化、绿化有序开展。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安防监控系统设备和线路检修次数</w:t>
            </w:r>
          </w:p>
        </w:tc>
        <w:tc>
          <w:tcPr>
            <w:tcW w:w="2835" w:type="dxa"/>
            <w:vAlign w:val="center"/>
          </w:tcPr>
          <w:p>
            <w:pPr>
              <w:pStyle w:val="14"/>
            </w:pPr>
            <w:r>
              <w:t>安防监控系统设备和线路检修次数</w:t>
            </w:r>
          </w:p>
        </w:tc>
        <w:tc>
          <w:tcPr>
            <w:tcW w:w="2551" w:type="dxa"/>
            <w:vAlign w:val="center"/>
          </w:tcPr>
          <w:p>
            <w:pPr>
              <w:pStyle w:val="14"/>
            </w:pPr>
            <w:r>
              <w:t>≥100次</w:t>
            </w:r>
          </w:p>
        </w:tc>
        <w:tc>
          <w:tcPr>
            <w:tcW w:w="2268" w:type="dxa"/>
            <w:vAlign w:val="center"/>
          </w:tcPr>
          <w:p>
            <w:pPr>
              <w:pStyle w:val="14"/>
            </w:pPr>
            <w:r>
              <w:t>安防监控系统检修单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机关办公区门卫值班登记巡检次数</w:t>
            </w:r>
          </w:p>
        </w:tc>
        <w:tc>
          <w:tcPr>
            <w:tcW w:w="2835" w:type="dxa"/>
            <w:vAlign w:val="center"/>
          </w:tcPr>
          <w:p>
            <w:pPr>
              <w:pStyle w:val="14"/>
            </w:pPr>
            <w:r>
              <w:t>机关办公区门卫值班登记巡检次数</w:t>
            </w:r>
          </w:p>
        </w:tc>
        <w:tc>
          <w:tcPr>
            <w:tcW w:w="2551" w:type="dxa"/>
            <w:vAlign w:val="center"/>
          </w:tcPr>
          <w:p>
            <w:pPr>
              <w:pStyle w:val="14"/>
            </w:pPr>
            <w:r>
              <w:t>≥200次</w:t>
            </w:r>
          </w:p>
        </w:tc>
        <w:tc>
          <w:tcPr>
            <w:tcW w:w="2268" w:type="dxa"/>
            <w:vAlign w:val="center"/>
          </w:tcPr>
          <w:p>
            <w:pPr>
              <w:pStyle w:val="14"/>
            </w:pPr>
            <w:r>
              <w:t>机关门卫值班记录本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公共设备正常运行天数</w:t>
            </w:r>
          </w:p>
        </w:tc>
        <w:tc>
          <w:tcPr>
            <w:tcW w:w="2835" w:type="dxa"/>
            <w:vAlign w:val="center"/>
          </w:tcPr>
          <w:p>
            <w:pPr>
              <w:pStyle w:val="14"/>
            </w:pPr>
            <w:r>
              <w:t>公共设备正常运行天数</w:t>
            </w:r>
          </w:p>
        </w:tc>
        <w:tc>
          <w:tcPr>
            <w:tcW w:w="2551" w:type="dxa"/>
            <w:vAlign w:val="center"/>
          </w:tcPr>
          <w:p>
            <w:pPr>
              <w:pStyle w:val="14"/>
            </w:pPr>
            <w:r>
              <w:t>365天</w:t>
            </w:r>
          </w:p>
        </w:tc>
        <w:tc>
          <w:tcPr>
            <w:tcW w:w="2268" w:type="dxa"/>
            <w:vAlign w:val="center"/>
          </w:tcPr>
          <w:p>
            <w:pPr>
              <w:pStyle w:val="14"/>
            </w:pPr>
            <w:r>
              <w:t>公共设施设备故障检修台账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垃圾清运天数</w:t>
            </w:r>
          </w:p>
        </w:tc>
        <w:tc>
          <w:tcPr>
            <w:tcW w:w="2835" w:type="dxa"/>
            <w:vAlign w:val="center"/>
          </w:tcPr>
          <w:p>
            <w:pPr>
              <w:pStyle w:val="14"/>
            </w:pPr>
            <w:r>
              <w:t>垃圾清运天数</w:t>
            </w:r>
          </w:p>
        </w:tc>
        <w:tc>
          <w:tcPr>
            <w:tcW w:w="2551" w:type="dxa"/>
            <w:vAlign w:val="center"/>
          </w:tcPr>
          <w:p>
            <w:pPr>
              <w:pStyle w:val="14"/>
            </w:pPr>
            <w:r>
              <w:t>365天</w:t>
            </w:r>
          </w:p>
        </w:tc>
        <w:tc>
          <w:tcPr>
            <w:tcW w:w="2268" w:type="dxa"/>
            <w:vAlign w:val="center"/>
          </w:tcPr>
          <w:p>
            <w:pPr>
              <w:pStyle w:val="14"/>
            </w:pPr>
            <w:r>
              <w:t>公共部位白洁服务记录本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机关内部安全生产无事故率</w:t>
            </w:r>
          </w:p>
        </w:tc>
        <w:tc>
          <w:tcPr>
            <w:tcW w:w="2835" w:type="dxa"/>
            <w:vAlign w:val="center"/>
          </w:tcPr>
          <w:p>
            <w:pPr>
              <w:pStyle w:val="14"/>
            </w:pPr>
            <w:r>
              <w:t>机关内部安全生产无事故率</w:t>
            </w:r>
          </w:p>
        </w:tc>
        <w:tc>
          <w:tcPr>
            <w:tcW w:w="2551" w:type="dxa"/>
            <w:vAlign w:val="center"/>
          </w:tcPr>
          <w:p>
            <w:pPr>
              <w:pStyle w:val="14"/>
            </w:pPr>
            <w:r>
              <w:t>100%</w:t>
            </w:r>
          </w:p>
        </w:tc>
        <w:tc>
          <w:tcPr>
            <w:tcW w:w="2268" w:type="dxa"/>
            <w:vAlign w:val="center"/>
          </w:tcPr>
          <w:p>
            <w:pPr>
              <w:pStyle w:val="14"/>
            </w:pPr>
            <w:r>
              <w:t>所领导带班日志、故障检修台账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设备维修合格率</w:t>
            </w:r>
          </w:p>
        </w:tc>
        <w:tc>
          <w:tcPr>
            <w:tcW w:w="2835" w:type="dxa"/>
            <w:vAlign w:val="center"/>
          </w:tcPr>
          <w:p>
            <w:pPr>
              <w:pStyle w:val="14"/>
            </w:pPr>
            <w:r>
              <w:t>设备维修合格率</w:t>
            </w:r>
          </w:p>
        </w:tc>
        <w:tc>
          <w:tcPr>
            <w:tcW w:w="2551" w:type="dxa"/>
            <w:vAlign w:val="center"/>
          </w:tcPr>
          <w:p>
            <w:pPr>
              <w:pStyle w:val="14"/>
            </w:pPr>
            <w:r>
              <w:t>100%</w:t>
            </w:r>
          </w:p>
        </w:tc>
        <w:tc>
          <w:tcPr>
            <w:tcW w:w="2268" w:type="dxa"/>
            <w:vAlign w:val="center"/>
          </w:tcPr>
          <w:p>
            <w:pPr>
              <w:pStyle w:val="14"/>
            </w:pPr>
            <w: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故障维修及时性</w:t>
            </w:r>
          </w:p>
        </w:tc>
        <w:tc>
          <w:tcPr>
            <w:tcW w:w="2835" w:type="dxa"/>
            <w:vAlign w:val="center"/>
          </w:tcPr>
          <w:p>
            <w:pPr>
              <w:pStyle w:val="14"/>
            </w:pPr>
            <w:r>
              <w:t>故障维修及时性</w:t>
            </w:r>
          </w:p>
        </w:tc>
        <w:tc>
          <w:tcPr>
            <w:tcW w:w="2551" w:type="dxa"/>
            <w:vAlign w:val="center"/>
          </w:tcPr>
          <w:p>
            <w:pPr>
              <w:pStyle w:val="14"/>
            </w:pPr>
            <w:r>
              <w:t>及时</w:t>
            </w:r>
          </w:p>
        </w:tc>
        <w:tc>
          <w:tcPr>
            <w:tcW w:w="2268" w:type="dxa"/>
            <w:vAlign w:val="center"/>
          </w:tcPr>
          <w:p>
            <w:pPr>
              <w:pStyle w:val="14"/>
            </w:pPr>
            <w: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环境净化绿化美化及时性</w:t>
            </w:r>
          </w:p>
        </w:tc>
        <w:tc>
          <w:tcPr>
            <w:tcW w:w="2835" w:type="dxa"/>
            <w:vAlign w:val="center"/>
          </w:tcPr>
          <w:p>
            <w:pPr>
              <w:pStyle w:val="14"/>
            </w:pPr>
            <w:r>
              <w:t>戒毒场所环境净化绿化美化及时性</w:t>
            </w:r>
          </w:p>
        </w:tc>
        <w:tc>
          <w:tcPr>
            <w:tcW w:w="2551" w:type="dxa"/>
            <w:vAlign w:val="center"/>
          </w:tcPr>
          <w:p>
            <w:pPr>
              <w:pStyle w:val="14"/>
            </w:pPr>
            <w:r>
              <w:t>及时</w:t>
            </w:r>
          </w:p>
        </w:tc>
        <w:tc>
          <w:tcPr>
            <w:tcW w:w="2268" w:type="dxa"/>
            <w:vAlign w:val="center"/>
          </w:tcPr>
          <w:p>
            <w:pPr>
              <w:pStyle w:val="14"/>
            </w:pPr>
            <w:r>
              <w:t>日常保洁服务记录本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戒毒所工作经费总成本</w:t>
            </w:r>
          </w:p>
        </w:tc>
        <w:tc>
          <w:tcPr>
            <w:tcW w:w="2835" w:type="dxa"/>
            <w:vAlign w:val="center"/>
          </w:tcPr>
          <w:p>
            <w:pPr>
              <w:pStyle w:val="14"/>
            </w:pPr>
            <w:r>
              <w:t>戒毒所工作经费总成本</w:t>
            </w:r>
          </w:p>
        </w:tc>
        <w:tc>
          <w:tcPr>
            <w:tcW w:w="2551" w:type="dxa"/>
            <w:vAlign w:val="center"/>
          </w:tcPr>
          <w:p>
            <w:pPr>
              <w:pStyle w:val="14"/>
            </w:pPr>
            <w:r>
              <w:t>30万元</w:t>
            </w:r>
          </w:p>
        </w:tc>
        <w:tc>
          <w:tcPr>
            <w:tcW w:w="2268" w:type="dxa"/>
            <w:vAlign w:val="center"/>
          </w:tcPr>
          <w:p>
            <w:pPr>
              <w:pStyle w:val="14"/>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戒毒所工作经费月均成本</w:t>
            </w:r>
          </w:p>
        </w:tc>
        <w:tc>
          <w:tcPr>
            <w:tcW w:w="2835" w:type="dxa"/>
            <w:vAlign w:val="center"/>
          </w:tcPr>
          <w:p>
            <w:pPr>
              <w:pStyle w:val="14"/>
            </w:pPr>
            <w:r>
              <w:t>戒毒所工作经费月均成本</w:t>
            </w:r>
          </w:p>
        </w:tc>
        <w:tc>
          <w:tcPr>
            <w:tcW w:w="2551" w:type="dxa"/>
            <w:vAlign w:val="center"/>
          </w:tcPr>
          <w:p>
            <w:pPr>
              <w:pStyle w:val="14"/>
            </w:pPr>
            <w:r>
              <w:t>2.5万元</w:t>
            </w:r>
          </w:p>
        </w:tc>
        <w:tc>
          <w:tcPr>
            <w:tcW w:w="2268" w:type="dxa"/>
            <w:vAlign w:val="center"/>
          </w:tcPr>
          <w:p>
            <w:pPr>
              <w:pStyle w:val="14"/>
            </w:pPr>
            <w: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戒毒场所稳定性</w:t>
            </w:r>
          </w:p>
        </w:tc>
        <w:tc>
          <w:tcPr>
            <w:tcW w:w="2835" w:type="dxa"/>
            <w:vAlign w:val="center"/>
          </w:tcPr>
          <w:p>
            <w:pPr>
              <w:pStyle w:val="14"/>
            </w:pPr>
            <w:r>
              <w:t>通过定期检修线路设备，促进场所安全稳定</w:t>
            </w:r>
          </w:p>
        </w:tc>
        <w:tc>
          <w:tcPr>
            <w:tcW w:w="2551" w:type="dxa"/>
            <w:vAlign w:val="center"/>
          </w:tcPr>
          <w:p>
            <w:pPr>
              <w:pStyle w:val="14"/>
            </w:pPr>
            <w:r>
              <w:t>提升</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各部门满意度</w:t>
            </w:r>
          </w:p>
        </w:tc>
        <w:tc>
          <w:tcPr>
            <w:tcW w:w="2835" w:type="dxa"/>
            <w:vAlign w:val="center"/>
          </w:tcPr>
          <w:p>
            <w:pPr>
              <w:pStyle w:val="14"/>
            </w:pPr>
            <w:r>
              <w:t>各部门满意度调查问卷</w:t>
            </w:r>
          </w:p>
        </w:tc>
        <w:tc>
          <w:tcPr>
            <w:tcW w:w="2551" w:type="dxa"/>
            <w:vAlign w:val="center"/>
          </w:tcPr>
          <w:p>
            <w:pPr>
              <w:pStyle w:val="14"/>
            </w:pPr>
            <w:r>
              <w:t>≥90%</w:t>
            </w:r>
          </w:p>
        </w:tc>
        <w:tc>
          <w:tcPr>
            <w:tcW w:w="2268" w:type="dxa"/>
            <w:vAlign w:val="center"/>
          </w:tcPr>
          <w:p>
            <w:pPr>
              <w:pStyle w:val="14"/>
            </w:pPr>
            <w:r>
              <w:t>各部门满意度调查问卷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、警察服装购置经费绩效目标表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1.通过项目的开展,实现着装统一化、规范化，推进戒毒执法规范化工作。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着装人数</w:t>
            </w:r>
          </w:p>
        </w:tc>
        <w:tc>
          <w:tcPr>
            <w:tcW w:w="2835" w:type="dxa"/>
            <w:vAlign w:val="center"/>
          </w:tcPr>
          <w:p>
            <w:pPr>
              <w:pStyle w:val="14"/>
            </w:pPr>
            <w:r>
              <w:t>民警及辅助人员</w:t>
            </w:r>
          </w:p>
        </w:tc>
        <w:tc>
          <w:tcPr>
            <w:tcW w:w="2551" w:type="dxa"/>
            <w:vAlign w:val="center"/>
          </w:tcPr>
          <w:p>
            <w:pPr>
              <w:pStyle w:val="14"/>
            </w:pPr>
            <w:r>
              <w:t>54人</w:t>
            </w:r>
          </w:p>
        </w:tc>
        <w:tc>
          <w:tcPr>
            <w:tcW w:w="2268" w:type="dxa"/>
            <w:vAlign w:val="center"/>
          </w:tcPr>
          <w:p>
            <w:pPr>
              <w:pStyle w:val="14"/>
            </w:pPr>
            <w:r>
              <w:t>《司法行政系统着装单位2023年度换装明细》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采购合格率</w:t>
            </w:r>
          </w:p>
        </w:tc>
        <w:tc>
          <w:tcPr>
            <w:tcW w:w="2835" w:type="dxa"/>
            <w:vAlign w:val="center"/>
          </w:tcPr>
          <w:p>
            <w:pPr>
              <w:pStyle w:val="14"/>
            </w:pPr>
            <w:r>
              <w:t>无破损、无污渍的合格着装数量占总采购着装数量的比重</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t>到货后发放及时性</w:t>
            </w:r>
          </w:p>
        </w:tc>
        <w:tc>
          <w:tcPr>
            <w:tcW w:w="2551" w:type="dxa"/>
            <w:vAlign w:val="center"/>
          </w:tcPr>
          <w:p>
            <w:pPr>
              <w:pStyle w:val="14"/>
            </w:pPr>
            <w:r>
              <w:t>及时</w:t>
            </w:r>
          </w:p>
        </w:tc>
        <w:tc>
          <w:tcPr>
            <w:tcW w:w="2268" w:type="dxa"/>
            <w:vAlign w:val="center"/>
          </w:tcPr>
          <w:p>
            <w:pPr>
              <w:pStyle w:val="14"/>
            </w:pPr>
            <w:r>
              <w:t>服装发放表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人均成本</w:t>
            </w:r>
          </w:p>
        </w:tc>
        <w:tc>
          <w:tcPr>
            <w:tcW w:w="2835" w:type="dxa"/>
            <w:vAlign w:val="center"/>
          </w:tcPr>
          <w:p>
            <w:pPr>
              <w:pStyle w:val="14"/>
            </w:pPr>
            <w:r>
              <w:t>采购服装人均成本</w:t>
            </w:r>
          </w:p>
        </w:tc>
        <w:tc>
          <w:tcPr>
            <w:tcW w:w="2551" w:type="dxa"/>
            <w:vAlign w:val="center"/>
          </w:tcPr>
          <w:p>
            <w:pPr>
              <w:pStyle w:val="14"/>
            </w:pPr>
            <w:r>
              <w:t>0.37万元</w:t>
            </w:r>
          </w:p>
        </w:tc>
        <w:tc>
          <w:tcPr>
            <w:tcW w:w="2268" w:type="dxa"/>
            <w:vAlign w:val="center"/>
          </w:tcPr>
          <w:p>
            <w:pPr>
              <w:pStyle w:val="14"/>
            </w:pPr>
            <w:r>
              <w:t>合同、发票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w:t>
            </w:r>
          </w:p>
        </w:tc>
        <w:tc>
          <w:tcPr>
            <w:tcW w:w="2835" w:type="dxa"/>
            <w:vAlign w:val="center"/>
          </w:tcPr>
          <w:p>
            <w:pPr>
              <w:pStyle w:val="14"/>
            </w:pPr>
            <w:r>
              <w:t>采购服装总成本</w:t>
            </w:r>
          </w:p>
        </w:tc>
        <w:tc>
          <w:tcPr>
            <w:tcW w:w="2551" w:type="dxa"/>
            <w:vAlign w:val="center"/>
          </w:tcPr>
          <w:p>
            <w:pPr>
              <w:pStyle w:val="14"/>
            </w:pPr>
            <w:r>
              <w:t>19.74万元</w:t>
            </w:r>
          </w:p>
        </w:tc>
        <w:tc>
          <w:tcPr>
            <w:tcW w:w="2268" w:type="dxa"/>
            <w:vAlign w:val="center"/>
          </w:tcPr>
          <w:p>
            <w:pPr>
              <w:pStyle w:val="14"/>
            </w:pPr>
            <w:r>
              <w:t>合同、发票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塑造和树立戒毒人民警察良好形象</w:t>
            </w:r>
          </w:p>
        </w:tc>
        <w:tc>
          <w:tcPr>
            <w:tcW w:w="2835" w:type="dxa"/>
            <w:vAlign w:val="center"/>
          </w:tcPr>
          <w:p>
            <w:pPr>
              <w:pStyle w:val="14"/>
            </w:pPr>
            <w:r>
              <w:t>执法过程中严格按照警容风纪纪律着警用被装，并严格按照规定执法</w:t>
            </w:r>
          </w:p>
        </w:tc>
        <w:tc>
          <w:tcPr>
            <w:tcW w:w="2551" w:type="dxa"/>
            <w:vAlign w:val="center"/>
          </w:tcPr>
          <w:p>
            <w:pPr>
              <w:pStyle w:val="14"/>
            </w:pPr>
            <w:r>
              <w:t>塑造和树立戒毒人民警察良好形象</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着装人员满意度</w:t>
            </w:r>
          </w:p>
        </w:tc>
        <w:tc>
          <w:tcPr>
            <w:tcW w:w="2835" w:type="dxa"/>
            <w:vAlign w:val="center"/>
          </w:tcPr>
          <w:p>
            <w:pPr>
              <w:pStyle w:val="14"/>
            </w:pPr>
            <w:r>
              <w:t>着装人员满意度</w:t>
            </w:r>
          </w:p>
        </w:tc>
        <w:tc>
          <w:tcPr>
            <w:tcW w:w="2551" w:type="dxa"/>
            <w:vAlign w:val="center"/>
          </w:tcPr>
          <w:p>
            <w:pPr>
              <w:pStyle w:val="14"/>
            </w:pPr>
            <w:r>
              <w:t>≥95%</w:t>
            </w:r>
          </w:p>
        </w:tc>
        <w:tc>
          <w:tcPr>
            <w:tcW w:w="2268" w:type="dxa"/>
            <w:vAlign w:val="center"/>
          </w:tcPr>
          <w:p>
            <w:pPr>
              <w:pStyle w:val="14"/>
            </w:pPr>
            <w:r>
              <w:t>着装人员满意度调查表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、人民警察值勤津贴、加班费绩效目标表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1.通过项目的开展如期发放人民警察值勤津贴、加班费，确保戒毒工作有序进行。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月值勤天数</w:t>
            </w:r>
          </w:p>
        </w:tc>
        <w:tc>
          <w:tcPr>
            <w:tcW w:w="2835" w:type="dxa"/>
            <w:vAlign w:val="center"/>
          </w:tcPr>
          <w:p>
            <w:pPr>
              <w:pStyle w:val="14"/>
            </w:pPr>
            <w:r>
              <w:t>月值勤天数</w:t>
            </w:r>
          </w:p>
        </w:tc>
        <w:tc>
          <w:tcPr>
            <w:tcW w:w="2551" w:type="dxa"/>
            <w:vAlign w:val="center"/>
          </w:tcPr>
          <w:p>
            <w:pPr>
              <w:pStyle w:val="14"/>
            </w:pPr>
            <w:r>
              <w:t>22天</w:t>
            </w:r>
          </w:p>
        </w:tc>
        <w:tc>
          <w:tcPr>
            <w:tcW w:w="2268" w:type="dxa"/>
            <w:vAlign w:val="center"/>
          </w:tcPr>
          <w:p>
            <w:pPr>
              <w:pStyle w:val="14"/>
            </w:pPr>
            <w:r>
              <w:t>人社部、财政部《关于执行人民警察值勤岗位津贴有关问题的通知》（人社部规[2017]10号）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在职人民警察出勤率</w:t>
            </w:r>
          </w:p>
        </w:tc>
        <w:tc>
          <w:tcPr>
            <w:tcW w:w="2835" w:type="dxa"/>
            <w:vAlign w:val="center"/>
          </w:tcPr>
          <w:p>
            <w:pPr>
              <w:pStyle w:val="14"/>
            </w:pPr>
            <w:r>
              <w:t>据实考核每名人民警察每月的出勤实际天数 出勤天数/总天数</w:t>
            </w:r>
          </w:p>
          <w:p>
            <w:pPr>
              <w:pStyle w:val="14"/>
            </w:pPr>
          </w:p>
        </w:tc>
        <w:tc>
          <w:tcPr>
            <w:tcW w:w="2551" w:type="dxa"/>
            <w:vAlign w:val="center"/>
          </w:tcPr>
          <w:p>
            <w:pPr>
              <w:pStyle w:val="14"/>
            </w:pPr>
            <w:r>
              <w:t>100%</w:t>
            </w:r>
          </w:p>
        </w:tc>
        <w:tc>
          <w:tcPr>
            <w:tcW w:w="2268" w:type="dxa"/>
            <w:vAlign w:val="center"/>
          </w:tcPr>
          <w:p>
            <w:pPr>
              <w:pStyle w:val="14"/>
            </w:pPr>
            <w:r>
              <w:t>干警考勤表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津贴、加班费发放及时性</w:t>
            </w:r>
          </w:p>
        </w:tc>
        <w:tc>
          <w:tcPr>
            <w:tcW w:w="2835" w:type="dxa"/>
            <w:vAlign w:val="center"/>
          </w:tcPr>
          <w:p>
            <w:pPr>
              <w:pStyle w:val="14"/>
            </w:pPr>
            <w:r>
              <w:t>值勤津贴、加班费发放及时性</w:t>
            </w:r>
          </w:p>
        </w:tc>
        <w:tc>
          <w:tcPr>
            <w:tcW w:w="2551" w:type="dxa"/>
            <w:vAlign w:val="center"/>
          </w:tcPr>
          <w:p>
            <w:pPr>
              <w:pStyle w:val="14"/>
            </w:pPr>
            <w:r>
              <w:t>及时</w:t>
            </w:r>
          </w:p>
        </w:tc>
        <w:tc>
          <w:tcPr>
            <w:tcW w:w="2268" w:type="dxa"/>
            <w:vAlign w:val="center"/>
          </w:tcPr>
          <w:p>
            <w:pPr>
              <w:pStyle w:val="14"/>
            </w:pPr>
            <w:r>
              <w:t>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月均成本</w:t>
            </w:r>
          </w:p>
        </w:tc>
        <w:tc>
          <w:tcPr>
            <w:tcW w:w="2835" w:type="dxa"/>
            <w:vAlign w:val="center"/>
          </w:tcPr>
          <w:p>
            <w:pPr>
              <w:pStyle w:val="14"/>
            </w:pPr>
            <w:r>
              <w:t>值勤津贴、加班费月均发放金额</w:t>
            </w:r>
          </w:p>
        </w:tc>
        <w:tc>
          <w:tcPr>
            <w:tcW w:w="2551" w:type="dxa"/>
            <w:vAlign w:val="center"/>
          </w:tcPr>
          <w:p>
            <w:pPr>
              <w:pStyle w:val="14"/>
            </w:pPr>
            <w:r>
              <w:t>6.62万元</w:t>
            </w:r>
          </w:p>
        </w:tc>
        <w:tc>
          <w:tcPr>
            <w:tcW w:w="2268" w:type="dxa"/>
            <w:vAlign w:val="center"/>
          </w:tcPr>
          <w:p>
            <w:pPr>
              <w:pStyle w:val="14"/>
            </w:pPr>
            <w:r>
              <w:t>干警考勤表、值勤津贴、加班费发放表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w:t>
            </w:r>
          </w:p>
        </w:tc>
        <w:tc>
          <w:tcPr>
            <w:tcW w:w="2835" w:type="dxa"/>
            <w:vAlign w:val="center"/>
          </w:tcPr>
          <w:p>
            <w:pPr>
              <w:pStyle w:val="14"/>
            </w:pPr>
            <w:r>
              <w:t>值勤津贴、加班费发放金额</w:t>
            </w:r>
          </w:p>
        </w:tc>
        <w:tc>
          <w:tcPr>
            <w:tcW w:w="2551" w:type="dxa"/>
            <w:vAlign w:val="center"/>
          </w:tcPr>
          <w:p>
            <w:pPr>
              <w:pStyle w:val="14"/>
            </w:pPr>
            <w:r>
              <w:t>79.49万元</w:t>
            </w:r>
          </w:p>
        </w:tc>
        <w:tc>
          <w:tcPr>
            <w:tcW w:w="2268" w:type="dxa"/>
            <w:vAlign w:val="center"/>
          </w:tcPr>
          <w:p>
            <w:pPr>
              <w:pStyle w:val="14"/>
            </w:pPr>
            <w:r>
              <w:t>干警考勤表、值勤津贴、加班费发放表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促进场所安全稳定</w:t>
            </w:r>
          </w:p>
        </w:tc>
        <w:tc>
          <w:tcPr>
            <w:tcW w:w="2835" w:type="dxa"/>
            <w:vAlign w:val="center"/>
          </w:tcPr>
          <w:p>
            <w:pPr>
              <w:pStyle w:val="14"/>
            </w:pPr>
            <w:r>
              <w:t>规范出勤考核，严格执法管理，加强值班警力配备。</w:t>
            </w:r>
          </w:p>
        </w:tc>
        <w:tc>
          <w:tcPr>
            <w:tcW w:w="2551" w:type="dxa"/>
            <w:vAlign w:val="center"/>
          </w:tcPr>
          <w:p>
            <w:pPr>
              <w:pStyle w:val="14"/>
            </w:pPr>
            <w:r>
              <w:t>稳定性提升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干警满意度</w:t>
            </w:r>
          </w:p>
        </w:tc>
        <w:tc>
          <w:tcPr>
            <w:tcW w:w="2835" w:type="dxa"/>
            <w:vAlign w:val="center"/>
          </w:tcPr>
          <w:p>
            <w:pPr>
              <w:pStyle w:val="14"/>
            </w:pPr>
            <w:r>
              <w:t>干警满意度</w:t>
            </w:r>
          </w:p>
        </w:tc>
        <w:tc>
          <w:tcPr>
            <w:tcW w:w="2551" w:type="dxa"/>
            <w:vAlign w:val="center"/>
          </w:tcPr>
          <w:p>
            <w:pPr>
              <w:pStyle w:val="14"/>
            </w:pPr>
            <w:r>
              <w:t>≥95%</w:t>
            </w:r>
          </w:p>
        </w:tc>
        <w:tc>
          <w:tcPr>
            <w:tcW w:w="2268" w:type="dxa"/>
            <w:vAlign w:val="center"/>
          </w:tcPr>
          <w:p>
            <w:pPr>
              <w:pStyle w:val="14"/>
            </w:pPr>
            <w:r>
              <w:t>干警满意度调查问卷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、三类及安全警戒岗位用工经费绩效目标表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1.通过项目的开展完成警戒护卫巡逻巡查工作，对周边围墙、院区重点部位进行定时巡查，实现场所安全稳定。</w:t>
            </w:r>
          </w:p>
          <w:p>
            <w:pPr>
              <w:pStyle w:val="14"/>
            </w:pPr>
            <w:r>
              <w:t>2.通过项目的开展实现人防、物防、技防相辅相成，保障戒毒场所安全稳定的实现。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警务辅助人员数量</w:t>
            </w:r>
          </w:p>
        </w:tc>
        <w:tc>
          <w:tcPr>
            <w:tcW w:w="2835" w:type="dxa"/>
            <w:vAlign w:val="center"/>
          </w:tcPr>
          <w:p>
            <w:pPr>
              <w:pStyle w:val="14"/>
            </w:pPr>
            <w:r>
              <w:t>场所关键技术等岗位，以及安防管理等警务辅助人员具体数量</w:t>
            </w:r>
          </w:p>
        </w:tc>
        <w:tc>
          <w:tcPr>
            <w:tcW w:w="2551" w:type="dxa"/>
            <w:vAlign w:val="center"/>
          </w:tcPr>
          <w:p>
            <w:pPr>
              <w:pStyle w:val="14"/>
            </w:pPr>
            <w:r>
              <w:t>≤20人</w:t>
            </w:r>
          </w:p>
        </w:tc>
        <w:tc>
          <w:tcPr>
            <w:tcW w:w="2268" w:type="dxa"/>
            <w:vAlign w:val="center"/>
          </w:tcPr>
          <w:p>
            <w:pPr>
              <w:pStyle w:val="14"/>
            </w:pPr>
            <w:r>
              <w:t>《廊坊市司法局关于市劳教所招聘辅助民警管理、生产关键要害、技术辅助岗位合同制用工及所需经费的请示》《廊坊市机构编制委员会办公室关于为廊坊市强制隔离戒毒所增加安全警戒岗位用工的批复》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报道天数</w:t>
            </w:r>
          </w:p>
        </w:tc>
        <w:tc>
          <w:tcPr>
            <w:tcW w:w="2835" w:type="dxa"/>
            <w:vAlign w:val="center"/>
          </w:tcPr>
          <w:p>
            <w:pPr>
              <w:pStyle w:val="14"/>
            </w:pPr>
            <w:r>
              <w:t>聘用人员到岗所用天数</w:t>
            </w:r>
          </w:p>
        </w:tc>
        <w:tc>
          <w:tcPr>
            <w:tcW w:w="2551" w:type="dxa"/>
            <w:vAlign w:val="center"/>
          </w:tcPr>
          <w:p>
            <w:pPr>
              <w:pStyle w:val="14"/>
            </w:pPr>
            <w:r>
              <w:t>≤1天</w:t>
            </w:r>
          </w:p>
        </w:tc>
        <w:tc>
          <w:tcPr>
            <w:tcW w:w="2268" w:type="dxa"/>
            <w:vAlign w:val="center"/>
          </w:tcPr>
          <w:p>
            <w:pPr>
              <w:pStyle w:val="14"/>
            </w:pPr>
            <w:r>
              <w:t>三类人员聘用合同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警务辅助人员出勤率</w:t>
            </w:r>
          </w:p>
        </w:tc>
        <w:tc>
          <w:tcPr>
            <w:tcW w:w="2835" w:type="dxa"/>
            <w:vAlign w:val="center"/>
          </w:tcPr>
          <w:p>
            <w:pPr>
              <w:pStyle w:val="14"/>
            </w:pPr>
            <w:r>
              <w:t>根据相关岗位特点，分别核定警务辅助人员的出勤率</w:t>
            </w:r>
          </w:p>
        </w:tc>
        <w:tc>
          <w:tcPr>
            <w:tcW w:w="2551" w:type="dxa"/>
            <w:vAlign w:val="center"/>
          </w:tcPr>
          <w:p>
            <w:pPr>
              <w:pStyle w:val="14"/>
            </w:pPr>
            <w:r>
              <w:t>100%</w:t>
            </w:r>
          </w:p>
        </w:tc>
        <w:tc>
          <w:tcPr>
            <w:tcW w:w="2268" w:type="dxa"/>
            <w:vAlign w:val="center"/>
          </w:tcPr>
          <w:p>
            <w:pPr>
              <w:pStyle w:val="14"/>
            </w:pPr>
            <w:r>
              <w:t>三类警戒岗位用工人员考勤表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上岗及时性</w:t>
            </w:r>
          </w:p>
        </w:tc>
        <w:tc>
          <w:tcPr>
            <w:tcW w:w="2835" w:type="dxa"/>
            <w:vAlign w:val="center"/>
          </w:tcPr>
          <w:p>
            <w:pPr>
              <w:pStyle w:val="14"/>
            </w:pPr>
            <w:r>
              <w:t>到本职工作岗位及时性</w:t>
            </w:r>
          </w:p>
        </w:tc>
        <w:tc>
          <w:tcPr>
            <w:tcW w:w="2551" w:type="dxa"/>
            <w:vAlign w:val="center"/>
          </w:tcPr>
          <w:p>
            <w:pPr>
              <w:pStyle w:val="14"/>
            </w:pPr>
            <w:r>
              <w:t>及时</w:t>
            </w:r>
          </w:p>
        </w:tc>
        <w:tc>
          <w:tcPr>
            <w:tcW w:w="2268" w:type="dxa"/>
            <w:vAlign w:val="center"/>
          </w:tcPr>
          <w:p>
            <w:pPr>
              <w:pStyle w:val="14"/>
            </w:pPr>
            <w:r>
              <w:t>三类及安全警戒岗位报到表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人均成本</w:t>
            </w:r>
          </w:p>
        </w:tc>
        <w:tc>
          <w:tcPr>
            <w:tcW w:w="2835" w:type="dxa"/>
            <w:vAlign w:val="center"/>
          </w:tcPr>
          <w:p>
            <w:pPr>
              <w:pStyle w:val="14"/>
            </w:pPr>
            <w:r>
              <w:t>三类及安全警戒岗位年人均用工费用</w:t>
            </w:r>
          </w:p>
        </w:tc>
        <w:tc>
          <w:tcPr>
            <w:tcW w:w="2551" w:type="dxa"/>
            <w:vAlign w:val="center"/>
          </w:tcPr>
          <w:p>
            <w:pPr>
              <w:pStyle w:val="14"/>
            </w:pPr>
            <w:r>
              <w:t>4.44万元</w:t>
            </w:r>
          </w:p>
        </w:tc>
        <w:tc>
          <w:tcPr>
            <w:tcW w:w="2268" w:type="dxa"/>
            <w:vAlign w:val="center"/>
          </w:tcPr>
          <w:p>
            <w:pPr>
              <w:pStyle w:val="14"/>
            </w:pPr>
            <w:r>
              <w:t>合同、支付单据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w:t>
            </w:r>
          </w:p>
        </w:tc>
        <w:tc>
          <w:tcPr>
            <w:tcW w:w="2835" w:type="dxa"/>
            <w:vAlign w:val="center"/>
          </w:tcPr>
          <w:p>
            <w:pPr>
              <w:pStyle w:val="14"/>
            </w:pPr>
            <w:r>
              <w:t>三类及安全警戒岗位年总用工费用</w:t>
            </w:r>
          </w:p>
        </w:tc>
        <w:tc>
          <w:tcPr>
            <w:tcW w:w="2551" w:type="dxa"/>
            <w:vAlign w:val="center"/>
          </w:tcPr>
          <w:p>
            <w:pPr>
              <w:pStyle w:val="14"/>
            </w:pPr>
            <w:r>
              <w:t>88.8万元</w:t>
            </w:r>
          </w:p>
        </w:tc>
        <w:tc>
          <w:tcPr>
            <w:tcW w:w="2268" w:type="dxa"/>
            <w:vAlign w:val="center"/>
          </w:tcPr>
          <w:p>
            <w:pPr>
              <w:pStyle w:val="14"/>
            </w:pPr>
            <w:r>
              <w:t>合同、支付单据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促进场所安全稳定</w:t>
            </w:r>
          </w:p>
        </w:tc>
        <w:tc>
          <w:tcPr>
            <w:tcW w:w="2835" w:type="dxa"/>
            <w:vAlign w:val="center"/>
          </w:tcPr>
          <w:p>
            <w:pPr>
              <w:pStyle w:val="14"/>
            </w:pPr>
            <w:r>
              <w:t>通过引进相关人员，保障场所有序运转，全面落实场所安全管理工作</w:t>
            </w:r>
          </w:p>
        </w:tc>
        <w:tc>
          <w:tcPr>
            <w:tcW w:w="2551" w:type="dxa"/>
            <w:vAlign w:val="center"/>
          </w:tcPr>
          <w:p>
            <w:pPr>
              <w:pStyle w:val="14"/>
            </w:pPr>
            <w:r>
              <w:t>稳定性提升</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部门满意度</w:t>
            </w:r>
          </w:p>
        </w:tc>
        <w:tc>
          <w:tcPr>
            <w:tcW w:w="2835" w:type="dxa"/>
            <w:vAlign w:val="center"/>
          </w:tcPr>
          <w:p>
            <w:pPr>
              <w:pStyle w:val="14"/>
            </w:pPr>
            <w:r>
              <w:t>各用工部门对所聘用三类人员满意度</w:t>
            </w:r>
          </w:p>
        </w:tc>
        <w:tc>
          <w:tcPr>
            <w:tcW w:w="2551" w:type="dxa"/>
            <w:vAlign w:val="center"/>
          </w:tcPr>
          <w:p>
            <w:pPr>
              <w:pStyle w:val="14"/>
            </w:pPr>
            <w:r>
              <w:t>≥95%</w:t>
            </w:r>
          </w:p>
        </w:tc>
        <w:tc>
          <w:tcPr>
            <w:tcW w:w="2268" w:type="dxa"/>
            <w:vAlign w:val="center"/>
          </w:tcPr>
          <w:p>
            <w:pPr>
              <w:pStyle w:val="14"/>
            </w:pPr>
            <w:r>
              <w:t>《各用工部门对所聘用三类人员满意度调查问卷》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sz w:val="32"/>
          <w:szCs w:val="32"/>
        </w:rPr>
      </w:pPr>
      <w:bookmarkStart w:id="5" w:name="_Toc_3_3_0000000015"/>
      <w:r>
        <w:rPr>
          <w:rFonts w:ascii="黑体" w:hAnsi="黑体" w:eastAsia="黑体" w:cs="黑体"/>
          <w:color w:val="000000"/>
          <w:sz w:val="32"/>
          <w:szCs w:val="32"/>
        </w:rPr>
        <w:t>六、政府采购预算情况</w:t>
      </w:r>
      <w:bookmarkEnd w:id="5"/>
    </w:p>
    <w:p>
      <w:pPr>
        <w:spacing w:before="0" w:after="0" w:line="500" w:lineRule="exact"/>
        <w:ind w:firstLine="560"/>
        <w:jc w:val="left"/>
        <w:outlineLvl w:val="9"/>
      </w:pPr>
      <w:r>
        <w:rPr>
          <w:rFonts w:ascii="Times New Roman" w:hAnsi="Times New Roman" w:eastAsia="方正仿宋_GBK" w:cs="Times New Roman"/>
          <w:b w:val="0"/>
          <w:color w:val="000000"/>
          <w:sz w:val="28"/>
        </w:rPr>
        <w:t>2023年，廊坊市司法局安排政府采购预算256.40万元。具体内容见下表。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375廊坊市司法局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256.40</w:t>
            </w:r>
          </w:p>
        </w:tc>
        <w:tc>
          <w:tcPr>
            <w:tcW w:w="924" w:type="dxa"/>
            <w:vAlign w:val="center"/>
          </w:tcPr>
          <w:p>
            <w:pPr>
              <w:pStyle w:val="17"/>
            </w:pPr>
            <w:r>
              <w:t>256.40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256.40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廊坊市司法局本级小计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212.00</w:t>
            </w:r>
          </w:p>
        </w:tc>
        <w:tc>
          <w:tcPr>
            <w:tcW w:w="924" w:type="dxa"/>
            <w:vAlign w:val="center"/>
          </w:tcPr>
          <w:p>
            <w:pPr>
              <w:pStyle w:val="17"/>
            </w:pPr>
            <w:r>
              <w:t>212.00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机关工作经费</w:t>
            </w:r>
          </w:p>
        </w:tc>
        <w:tc>
          <w:tcPr>
            <w:tcW w:w="924" w:type="dxa"/>
            <w:vAlign w:val="center"/>
          </w:tcPr>
          <w:p>
            <w:pPr>
              <w:pStyle w:val="13"/>
            </w:pPr>
            <w:r>
              <w:t>75.00</w:t>
            </w:r>
          </w:p>
        </w:tc>
        <w:tc>
          <w:tcPr>
            <w:tcW w:w="924" w:type="dxa"/>
            <w:vAlign w:val="center"/>
          </w:tcPr>
          <w:p>
            <w:pPr>
              <w:pStyle w:val="14"/>
            </w:pPr>
            <w:r>
              <w:t>其他服务</w:t>
            </w:r>
          </w:p>
        </w:tc>
        <w:tc>
          <w:tcPr>
            <w:tcW w:w="924" w:type="dxa"/>
            <w:vAlign w:val="center"/>
          </w:tcPr>
          <w:p>
            <w:pPr>
              <w:pStyle w:val="14"/>
            </w:pPr>
            <w:r>
              <w:t>C99000000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69.00</w:t>
            </w:r>
          </w:p>
        </w:tc>
        <w:tc>
          <w:tcPr>
            <w:tcW w:w="924" w:type="dxa"/>
            <w:vAlign w:val="center"/>
          </w:tcPr>
          <w:p>
            <w:pPr>
              <w:pStyle w:val="13"/>
            </w:pPr>
            <w:r>
              <w:t>69.00</w:t>
            </w:r>
          </w:p>
        </w:tc>
        <w:tc>
          <w:tcPr>
            <w:tcW w:w="924" w:type="dxa"/>
            <w:vAlign w:val="center"/>
          </w:tcPr>
          <w:p>
            <w:pPr>
              <w:pStyle w:val="13"/>
            </w:pPr>
            <w:r>
              <w:t>69.00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办公楼搬迁维修改造市级经费</w:t>
            </w:r>
          </w:p>
        </w:tc>
        <w:tc>
          <w:tcPr>
            <w:tcW w:w="924" w:type="dxa"/>
            <w:vAlign w:val="center"/>
          </w:tcPr>
          <w:p>
            <w:pPr>
              <w:pStyle w:val="13"/>
            </w:pPr>
            <w:r>
              <w:t>80.00</w:t>
            </w:r>
          </w:p>
        </w:tc>
        <w:tc>
          <w:tcPr>
            <w:tcW w:w="924" w:type="dxa"/>
            <w:vAlign w:val="center"/>
          </w:tcPr>
          <w:p>
            <w:pPr>
              <w:pStyle w:val="14"/>
            </w:pPr>
            <w:r>
              <w:t>房屋修缮</w:t>
            </w:r>
          </w:p>
        </w:tc>
        <w:tc>
          <w:tcPr>
            <w:tcW w:w="924" w:type="dxa"/>
            <w:vAlign w:val="center"/>
          </w:tcPr>
          <w:p>
            <w:pPr>
              <w:pStyle w:val="14"/>
            </w:pPr>
            <w:r>
              <w:t>B08010000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河北省廊坊市强制隔离戒毒所小计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44.40</w:t>
            </w:r>
          </w:p>
        </w:tc>
        <w:tc>
          <w:tcPr>
            <w:tcW w:w="924" w:type="dxa"/>
            <w:vAlign w:val="center"/>
          </w:tcPr>
          <w:p>
            <w:pPr>
              <w:pStyle w:val="17"/>
            </w:pPr>
            <w:r>
              <w:t>44.40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三类及安全警戒岗位用工经费</w:t>
            </w:r>
          </w:p>
        </w:tc>
        <w:tc>
          <w:tcPr>
            <w:tcW w:w="924" w:type="dxa"/>
            <w:vAlign w:val="center"/>
          </w:tcPr>
          <w:p>
            <w:pPr>
              <w:pStyle w:val="13"/>
            </w:pPr>
            <w:r>
              <w:t>88.80</w:t>
            </w:r>
          </w:p>
        </w:tc>
        <w:tc>
          <w:tcPr>
            <w:tcW w:w="924" w:type="dxa"/>
            <w:vAlign w:val="center"/>
          </w:tcPr>
          <w:p>
            <w:pPr>
              <w:pStyle w:val="14"/>
            </w:pPr>
            <w:r>
              <w:t>保安服务</w:t>
            </w:r>
          </w:p>
        </w:tc>
        <w:tc>
          <w:tcPr>
            <w:tcW w:w="924" w:type="dxa"/>
            <w:vAlign w:val="center"/>
          </w:tcPr>
          <w:p>
            <w:pPr>
              <w:pStyle w:val="14"/>
            </w:pPr>
            <w:r>
              <w:t>C05040300</w:t>
            </w:r>
          </w:p>
        </w:tc>
        <w:tc>
          <w:tcPr>
            <w:tcW w:w="924" w:type="dxa"/>
            <w:vAlign w:val="center"/>
          </w:tcPr>
          <w:p>
            <w:pPr>
              <w:pStyle w:val="15"/>
            </w:pPr>
            <w:r>
              <w:t>人</w:t>
            </w:r>
          </w:p>
        </w:tc>
        <w:tc>
          <w:tcPr>
            <w:tcW w:w="924" w:type="dxa"/>
            <w:vAlign w:val="center"/>
          </w:tcPr>
          <w:p>
            <w:pPr>
              <w:pStyle w:val="13"/>
            </w:pPr>
            <w:r>
              <w:t>10</w:t>
            </w:r>
          </w:p>
        </w:tc>
        <w:tc>
          <w:tcPr>
            <w:tcW w:w="924" w:type="dxa"/>
            <w:vAlign w:val="center"/>
          </w:tcPr>
          <w:p>
            <w:pPr>
              <w:pStyle w:val="13"/>
            </w:pPr>
            <w:r>
              <w:t>4.44</w:t>
            </w:r>
          </w:p>
        </w:tc>
        <w:tc>
          <w:tcPr>
            <w:tcW w:w="924" w:type="dxa"/>
            <w:vAlign w:val="center"/>
          </w:tcPr>
          <w:p>
            <w:pPr>
              <w:pStyle w:val="13"/>
            </w:pPr>
            <w:r>
              <w:t>44.40</w:t>
            </w:r>
          </w:p>
        </w:tc>
        <w:tc>
          <w:tcPr>
            <w:tcW w:w="924" w:type="dxa"/>
            <w:vAlign w:val="center"/>
          </w:tcPr>
          <w:p>
            <w:pPr>
              <w:pStyle w:val="13"/>
            </w:pPr>
            <w:r>
              <w:t>44.40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44.40</w:t>
            </w:r>
          </w:p>
        </w:tc>
      </w:tr>
    </w:tbl>
    <w:p>
      <w:pPr>
        <w:spacing w:before="0" w:after="0" w:line="500" w:lineRule="exact"/>
        <w:ind w:firstLine="420"/>
        <w:jc w:val="left"/>
        <w:outlineLvl w:val="9"/>
        <w:rPr>
          <w:rFonts w:ascii="黑体" w:hAnsi="黑体" w:eastAsia="黑体" w:cs="黑体"/>
          <w:color w:val="000000"/>
          <w:sz w:val="32"/>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6" w:name="_Toc_3_3_0000000016"/>
    </w:p>
    <w:p>
      <w:pPr>
        <w:spacing w:before="10" w:after="10" w:line="240" w:lineRule="auto"/>
        <w:ind w:firstLine="640"/>
        <w:jc w:val="left"/>
        <w:outlineLvl w:val="2"/>
        <w:rPr>
          <w:color w:val="auto"/>
          <w:sz w:val="32"/>
          <w:szCs w:val="32"/>
        </w:rPr>
      </w:pPr>
      <w:r>
        <w:rPr>
          <w:rFonts w:ascii="黑体" w:hAnsi="黑体" w:eastAsia="黑体" w:cs="黑体"/>
          <w:color w:val="auto"/>
          <w:sz w:val="32"/>
          <w:szCs w:val="32"/>
        </w:rPr>
        <w:t>七、国有资产信息</w:t>
      </w:r>
      <w:bookmarkEnd w:id="6"/>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廊坊市司法局（含所属单位）上年末固定资产金额为</w:t>
      </w:r>
      <w:r>
        <w:rPr>
          <w:rFonts w:hint="eastAsia" w:eastAsia="方正仿宋_GBK" w:cs="Times New Roman"/>
          <w:b w:val="0"/>
          <w:color w:val="auto"/>
          <w:sz w:val="28"/>
          <w:lang w:val="en-US" w:eastAsia="zh-CN"/>
        </w:rPr>
        <w:t>6041.56</w:t>
      </w:r>
      <w:r>
        <w:rPr>
          <w:rFonts w:ascii="Times New Roman" w:hAnsi="Times New Roman" w:eastAsia="方正仿宋_GBK" w:cs="Times New Roman"/>
          <w:b w:val="0"/>
          <w:color w:val="auto"/>
          <w:sz w:val="28"/>
        </w:rPr>
        <w:t>万元（详见下表）。本年度拟购置固定资产总额为</w:t>
      </w:r>
      <w:r>
        <w:rPr>
          <w:rFonts w:hint="eastAsia" w:eastAsia="方正仿宋_GBK" w:cs="Times New Roman"/>
          <w:b w:val="0"/>
          <w:color w:val="auto"/>
          <w:sz w:val="28"/>
          <w:lang w:val="en-US" w:eastAsia="zh-CN"/>
        </w:rPr>
        <w:t>63</w:t>
      </w:r>
      <w:r>
        <w:rPr>
          <w:rFonts w:ascii="Times New Roman" w:hAnsi="Times New Roman" w:eastAsia="方正仿宋_GBK" w:cs="Times New Roman"/>
          <w:b w:val="0"/>
          <w:color w:val="auto"/>
          <w:sz w:val="28"/>
        </w:rPr>
        <w:t>万元，</w:t>
      </w:r>
      <w:r>
        <w:rPr>
          <w:rFonts w:hint="eastAsia" w:eastAsia="方正仿宋_GBK" w:cs="Times New Roman"/>
          <w:b w:val="0"/>
          <w:color w:val="auto"/>
          <w:sz w:val="28"/>
          <w:lang w:eastAsia="zh-CN"/>
        </w:rPr>
        <w:t>主要为计算机设备，</w:t>
      </w:r>
      <w:r>
        <w:rPr>
          <w:rFonts w:ascii="Times New Roman" w:hAnsi="Times New Roman" w:eastAsia="方正仿宋_GBK" w:cs="Times New Roman"/>
          <w:b w:val="0"/>
          <w:color w:val="auto"/>
          <w:sz w:val="28"/>
        </w:rPr>
        <w:t>已列入政府采购预算，详见政府采购预算表。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eastAsia" w:eastAsia="仿宋_GB2312"/>
                <w:color w:val="auto"/>
                <w:lang w:eastAsia="zh-CN"/>
              </w:rPr>
            </w:pPr>
            <w:r>
              <w:rPr>
                <w:rFonts w:ascii="Times New Roman" w:hAnsi="Times New Roman" w:eastAsia="仿宋_GB2312" w:cs="Times New Roman"/>
                <w:color w:val="auto"/>
                <w:kern w:val="0"/>
                <w:sz w:val="22"/>
              </w:rPr>
              <w:t>编制部门：廊坊市</w:t>
            </w:r>
            <w:r>
              <w:rPr>
                <w:rFonts w:hint="eastAsia" w:ascii="Times New Roman" w:hAnsi="Times New Roman" w:eastAsia="仿宋_GB2312" w:cs="Times New Roman"/>
                <w:color w:val="auto"/>
                <w:kern w:val="0"/>
                <w:sz w:val="22"/>
                <w:lang w:eastAsia="zh-CN"/>
              </w:rPr>
              <w:t>司法局</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rPr>
            </w:pPr>
            <w:r>
              <w:rPr>
                <w:rFonts w:ascii="Times New Roman" w:hAnsi="Times New Roman" w:eastAsia="仿宋_GB2312" w:cs="Times New Roman"/>
                <w:color w:val="auto"/>
                <w:kern w:val="0"/>
                <w:sz w:val="22"/>
                <w:szCs w:val="24"/>
                <w:lang w:val="en-US" w:eastAsia="uk-UA" w:bidi="ar-SA"/>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color w:val="auto"/>
              </w:rPr>
            </w:pPr>
            <w:r>
              <w:rPr>
                <w:color w:val="auto"/>
              </w:rPr>
              <w:t>项   目</w:t>
            </w:r>
          </w:p>
        </w:tc>
        <w:tc>
          <w:tcPr>
            <w:tcW w:w="4933" w:type="dxa"/>
            <w:vAlign w:val="center"/>
          </w:tcPr>
          <w:p>
            <w:pPr>
              <w:pStyle w:val="12"/>
              <w:rPr>
                <w:color w:val="auto"/>
              </w:rPr>
            </w:pPr>
            <w:r>
              <w:rPr>
                <w:color w:val="auto"/>
              </w:rPr>
              <w:t>数量</w:t>
            </w:r>
          </w:p>
        </w:tc>
        <w:tc>
          <w:tcPr>
            <w:tcW w:w="4933" w:type="dxa"/>
            <w:vAlign w:val="center"/>
          </w:tcPr>
          <w:p>
            <w:pPr>
              <w:pStyle w:val="12"/>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资产总额</w:t>
            </w:r>
          </w:p>
        </w:tc>
        <w:tc>
          <w:tcPr>
            <w:tcW w:w="4933" w:type="dxa"/>
            <w:vAlign w:val="center"/>
          </w:tcPr>
          <w:p>
            <w:pPr>
              <w:spacing w:line="584" w:lineRule="exact"/>
              <w:jc w:val="center"/>
              <w:rPr>
                <w:color w:val="auto"/>
              </w:rPr>
            </w:pPr>
            <w:r>
              <w:rPr>
                <w:rFonts w:ascii="Times New Roman" w:hAnsi="Times New Roman" w:eastAsia="仿宋_GB2312" w:cs="Times New Roman"/>
                <w:color w:val="auto"/>
                <w:sz w:val="22"/>
              </w:rPr>
              <w:t>——</w:t>
            </w:r>
          </w:p>
        </w:tc>
        <w:tc>
          <w:tcPr>
            <w:tcW w:w="4933" w:type="dxa"/>
            <w:vAlign w:val="center"/>
          </w:tcPr>
          <w:p>
            <w:pPr>
              <w:spacing w:line="584" w:lineRule="exact"/>
              <w:jc w:val="center"/>
              <w:rPr>
                <w:rFonts w:hint="default"/>
                <w:color w:val="auto"/>
                <w:lang w:val="en-US"/>
              </w:rPr>
            </w:pPr>
            <w:r>
              <w:rPr>
                <w:rFonts w:hint="eastAsia" w:eastAsia="仿宋_GB2312" w:cs="Times New Roman"/>
                <w:color w:val="auto"/>
                <w:sz w:val="22"/>
                <w:lang w:val="en-US" w:eastAsia="zh-CN"/>
              </w:rPr>
              <w:t>6041.56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1、房屋（平方米）</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18532.34</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1902.41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其中：办公用房（平方米）</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3490.1</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328.42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2、车辆（台、辆）</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17</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338.47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3、单价在20万元以上的设备</w:t>
            </w:r>
          </w:p>
        </w:tc>
        <w:tc>
          <w:tcPr>
            <w:tcW w:w="4933" w:type="dxa"/>
            <w:vAlign w:val="center"/>
          </w:tcPr>
          <w:p>
            <w:pPr>
              <w:spacing w:line="584" w:lineRule="exact"/>
              <w:jc w:val="center"/>
              <w:rPr>
                <w:color w:val="auto"/>
              </w:rPr>
            </w:pPr>
            <w:r>
              <w:rPr>
                <w:rFonts w:hint="eastAsia" w:ascii="Times New Roman" w:hAnsi="Times New Roman" w:eastAsia="仿宋_GB2312" w:cs="Times New Roman"/>
                <w:color w:val="auto"/>
                <w:sz w:val="22"/>
                <w:lang w:val="en-US" w:eastAsia="zh-CN"/>
              </w:rPr>
              <w:t>2</w:t>
            </w:r>
            <w:r>
              <w:rPr>
                <w:rFonts w:hint="eastAsia" w:eastAsia="仿宋_GB2312" w:cs="Times New Roman"/>
                <w:color w:val="auto"/>
                <w:sz w:val="22"/>
                <w:lang w:val="en-US" w:eastAsia="zh-CN"/>
              </w:rPr>
              <w:t>2</w:t>
            </w:r>
          </w:p>
        </w:tc>
        <w:tc>
          <w:tcPr>
            <w:tcW w:w="4933" w:type="dxa"/>
            <w:vAlign w:val="center"/>
          </w:tcPr>
          <w:p>
            <w:pPr>
              <w:spacing w:line="584" w:lineRule="exact"/>
              <w:jc w:val="center"/>
              <w:rPr>
                <w:rFonts w:hint="default"/>
                <w:color w:val="auto"/>
                <w:lang w:val="en-US"/>
              </w:rPr>
            </w:pPr>
            <w:r>
              <w:rPr>
                <w:rFonts w:hint="eastAsia" w:ascii="Times New Roman" w:hAnsi="Times New Roman" w:eastAsia="仿宋_GB2312" w:cs="Times New Roman"/>
                <w:color w:val="auto"/>
                <w:sz w:val="22"/>
                <w:lang w:val="en-US" w:eastAsia="zh-CN"/>
              </w:rPr>
              <w:t>18</w:t>
            </w:r>
            <w:r>
              <w:rPr>
                <w:rFonts w:hint="eastAsia" w:eastAsia="仿宋_GB2312" w:cs="Times New Roman"/>
                <w:color w:val="auto"/>
                <w:sz w:val="22"/>
                <w:lang w:val="en-US" w:eastAsia="zh-CN"/>
              </w:rPr>
              <w:t>91.28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spacing w:line="584" w:lineRule="exact"/>
              <w:jc w:val="center"/>
              <w:rPr>
                <w:color w:val="auto"/>
              </w:rPr>
            </w:pPr>
            <w:r>
              <w:rPr>
                <w:rFonts w:ascii="Times New Roman" w:hAnsi="Times New Roman" w:eastAsia="仿宋_GB2312" w:cs="Times New Roman"/>
                <w:color w:val="auto"/>
                <w:kern w:val="0"/>
                <w:sz w:val="22"/>
              </w:rPr>
              <w:t>4、其他固定资产</w:t>
            </w:r>
          </w:p>
        </w:tc>
        <w:tc>
          <w:tcPr>
            <w:tcW w:w="4933" w:type="dxa"/>
            <w:vAlign w:val="center"/>
          </w:tcPr>
          <w:p>
            <w:pPr>
              <w:spacing w:line="584" w:lineRule="exact"/>
              <w:jc w:val="center"/>
              <w:rPr>
                <w:rFonts w:hint="default"/>
                <w:color w:val="auto"/>
                <w:lang w:val="en-US"/>
              </w:rPr>
            </w:pPr>
            <w:r>
              <w:rPr>
                <w:rFonts w:hint="eastAsia" w:eastAsia="仿宋_GB2312" w:cs="Times New Roman"/>
                <w:color w:val="auto"/>
                <w:sz w:val="22"/>
                <w:lang w:val="en-US" w:eastAsia="zh-CN"/>
              </w:rPr>
              <w:t>3053</w:t>
            </w:r>
          </w:p>
        </w:tc>
        <w:tc>
          <w:tcPr>
            <w:tcW w:w="4933" w:type="dxa"/>
            <w:vAlign w:val="center"/>
          </w:tcPr>
          <w:p>
            <w:pPr>
              <w:spacing w:line="584" w:lineRule="exact"/>
              <w:jc w:val="center"/>
              <w:rPr>
                <w:rFonts w:hint="default"/>
                <w:color w:val="auto"/>
                <w:lang w:val="en-US"/>
              </w:rPr>
            </w:pPr>
            <w:r>
              <w:rPr>
                <w:rFonts w:hint="eastAsia" w:eastAsia="仿宋_GB2312" w:cs="Times New Roman"/>
                <w:color w:val="auto"/>
                <w:sz w:val="22"/>
                <w:lang w:val="en-US" w:eastAsia="zh-CN"/>
              </w:rPr>
              <w:t>1909.4</w:t>
            </w:r>
          </w:p>
        </w:tc>
      </w:tr>
    </w:tbl>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7" w:name="_Toc_3_3_0000000017"/>
      <w:r>
        <w:rPr>
          <w:rFonts w:ascii="黑体" w:hAnsi="黑体" w:eastAsia="黑体" w:cs="黑体"/>
          <w:color w:val="000000"/>
          <w:sz w:val="32"/>
        </w:rPr>
        <w:t>八、名词解释</w:t>
      </w:r>
      <w:bookmarkEnd w:id="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8" w:name="_Toc_3_3_0000000018"/>
      <w:r>
        <w:rPr>
          <w:rFonts w:ascii="黑体" w:hAnsi="黑体" w:eastAsia="黑体" w:cs="黑体"/>
          <w:color w:val="000000"/>
          <w:sz w:val="32"/>
        </w:rPr>
        <w:t>九、其他需要说明的事项</w:t>
      </w:r>
      <w:bookmarkEnd w:id="8"/>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ZWZlOWIyZDYzNGMxNTY0M2Q3NjlhNTMyYzliYmYifQ=="/>
  </w:docVars>
  <w:rsids>
    <w:rsidRoot w:val="00000000"/>
    <w:rsid w:val="0BE737DC"/>
    <w:rsid w:val="0DFFD33A"/>
    <w:rsid w:val="16EE78FE"/>
    <w:rsid w:val="3BEFD54E"/>
    <w:rsid w:val="3FBF078B"/>
    <w:rsid w:val="3FFBA319"/>
    <w:rsid w:val="4FBF9F92"/>
    <w:rsid w:val="6B6F6A95"/>
    <w:rsid w:val="75BBB43A"/>
    <w:rsid w:val="7BFFC9ED"/>
    <w:rsid w:val="7FBB68D4"/>
    <w:rsid w:val="BA6A5C2A"/>
    <w:rsid w:val="DFEC8B93"/>
    <w:rsid w:val="EBDFB48B"/>
    <w:rsid w:val="F7B76F66"/>
    <w:rsid w:val="FF57B9D3"/>
    <w:rsid w:val="FFFB9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2023-02-02T15:13:00Z</dcterms:created>
  <dc:creator>uos</dc:creator>
  <cp:lastModifiedBy>长城新媒体祝雪娟</cp:lastModifiedBy>
  <dcterms:modified xsi:type="dcterms:W3CDTF">2024-01-02T02:25:31Z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DC52B71A848A4F00B294A8C0CF166C0B_13</vt:lpwstr>
  </property>
</Properties>
</file>