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lang w:eastAsia="zh-CN"/>
        </w:rPr>
        <w:t>强制隔离戒毒所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何必省廊坊市强制隔离戒毒所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一、部门职责及机构设置情况</w:t>
      </w:r>
    </w:p>
    <w:p>
      <w:pPr>
        <w:spacing w:line="584" w:lineRule="exact"/>
        <w:ind w:firstLine="642"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hd w:val="clear" w:color="auto" w:fill="FFFFFF"/>
        <w:overflowPunct w:val="0"/>
        <w:spacing w:line="584"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廊坊市机构编制委员会关于调整市劳动教养管理所职责及机构设置的批复》（廊编[2015]25号），河北省廊坊市强制隔离戒毒所负责收治廊坊市辖区内的强制隔离戒毒人员，对强戒人员进行收治、管理，提供科学规范的戒毒治疗、心理治疗、身体康复训练，开展法律、道德、形势政策教育，组织强戒人员参加职业技能培训，对强戒人员进行诊断评估，办理解除强制隔离戒毒手续，深化强制隔离戒毒执法工作。</w:t>
      </w:r>
    </w:p>
    <w:p>
      <w:pPr>
        <w:autoSpaceDE w:val="0"/>
        <w:autoSpaceDN w:val="0"/>
        <w:adjustRightInd w:val="0"/>
        <w:spacing w:line="584" w:lineRule="exact"/>
        <w:ind w:firstLine="629"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kern w:val="0"/>
                <w:sz w:val="24"/>
                <w:szCs w:val="24"/>
              </w:rPr>
              <w:t>河北省廊坊市强制隔离戒毒所</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kern w:val="0"/>
                <w:sz w:val="24"/>
                <w:szCs w:val="24"/>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kern w:val="0"/>
                <w:sz w:val="24"/>
                <w:szCs w:val="24"/>
              </w:rPr>
              <w:t>副处级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kern w:val="0"/>
                <w:sz w:val="24"/>
                <w:szCs w:val="24"/>
              </w:rPr>
              <w:t>财政拨款</w:t>
            </w:r>
          </w:p>
        </w:tc>
      </w:tr>
    </w:tbl>
    <w:p>
      <w:pPr>
        <w:spacing w:line="584" w:lineRule="exact"/>
        <w:ind w:firstLine="640" w:firstLineChars="200"/>
        <w:rPr>
          <w:rFonts w:ascii="Times New Roman" w:hAnsi="Times New Roman" w:eastAsia="仿宋" w:cs="Times New Roman"/>
          <w:color w:val="FF0000"/>
          <w:sz w:val="32"/>
          <w:szCs w:val="32"/>
        </w:rPr>
      </w:pP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rPr>
        <w:t>河北省</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强制隔离戒毒所</w:t>
      </w:r>
      <w:r>
        <w:rPr>
          <w:rFonts w:ascii="Times New Roman" w:hAnsi="Times New Roman" w:eastAsia="仿宋_GB2312" w:cs="Times New Roman"/>
          <w:sz w:val="32"/>
          <w:szCs w:val="32"/>
        </w:rPr>
        <w:t>单位的收支包含在部门预算中。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1774.27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1774.27</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rPr>
        <w:t>河北省</w:t>
      </w: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强制隔离戒毒所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1774.27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1537.24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1331.33</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205.91</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237.03</w:t>
      </w:r>
      <w:r>
        <w:rPr>
          <w:rFonts w:ascii="Times New Roman" w:hAnsi="Times New Roman" w:eastAsia="仿宋_GB2312" w:cs="Times New Roman"/>
          <w:sz w:val="32"/>
          <w:szCs w:val="32"/>
        </w:rPr>
        <w:t>万元。</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1774.27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val="en-US" w:eastAsia="zh-CN"/>
        </w:rPr>
        <w:t>1774.64</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0.37</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95.32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rPr>
        <w:t>人员经费工资福利支出等和日常公用经费水费、电费、办公费支出等</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highlight w:val="none"/>
          <w:lang w:val="en-US" w:eastAsia="zh-CN"/>
        </w:rPr>
        <w:t>95.69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戒毒所工作经费、三类及安全警戒岗位用工经费、警察服装购置经费等</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205.91</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河北省廊坊市强制隔离戒毒所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29"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20</w:t>
      </w:r>
      <w:r>
        <w:rPr>
          <w:rFonts w:hint="eastAsia" w:ascii="Times New Roman" w:hAnsi="Times New Roman" w:eastAsia="仿宋_GB2312" w:cs="Times New Roman"/>
          <w:color w:val="auto"/>
          <w:sz w:val="32"/>
          <w:szCs w:val="32"/>
        </w:rPr>
        <w:t>23</w:t>
      </w:r>
      <w:r>
        <w:rPr>
          <w:rFonts w:ascii="Times New Roman" w:hAnsi="Times New Roman" w:eastAsia="仿宋_GB2312" w:cs="Times New Roman"/>
          <w:color w:val="auto"/>
          <w:sz w:val="32"/>
          <w:szCs w:val="32"/>
        </w:rPr>
        <w:t>年，我</w:t>
      </w:r>
      <w:r>
        <w:rPr>
          <w:rFonts w:hint="eastAsia" w:ascii="Times New Roman" w:hAnsi="Times New Roman" w:eastAsia="仿宋_GB2312" w:cs="Times New Roman"/>
          <w:color w:val="auto"/>
          <w:sz w:val="32"/>
          <w:szCs w:val="32"/>
          <w:lang w:eastAsia="zh-CN"/>
        </w:rPr>
        <w:t>单位</w:t>
      </w:r>
      <w:r>
        <w:rPr>
          <w:rFonts w:ascii="Times New Roman" w:hAnsi="Times New Roman" w:eastAsia="仿宋_GB2312" w:cs="Times New Roman"/>
          <w:color w:val="auto"/>
          <w:sz w:val="32"/>
          <w:szCs w:val="32"/>
        </w:rPr>
        <w:t>财政拨款“三公”经费预算安排</w:t>
      </w:r>
      <w:r>
        <w:rPr>
          <w:rFonts w:hint="eastAsia" w:ascii="Times New Roman" w:hAnsi="Times New Roman" w:eastAsia="仿宋_GB2312" w:cs="Times New Roman"/>
          <w:color w:val="auto"/>
          <w:sz w:val="32"/>
          <w:szCs w:val="32"/>
          <w:lang w:val="en-US" w:eastAsia="zh-CN"/>
        </w:rPr>
        <w:t>21.09</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其中</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因公出国（境）费</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万元；公务用车购置及运维费</w:t>
      </w:r>
      <w:r>
        <w:rPr>
          <w:rFonts w:hint="eastAsia" w:ascii="Times New Roman" w:hAnsi="Times New Roman" w:eastAsia="仿宋_GB2312" w:cs="Times New Roman"/>
          <w:color w:val="auto"/>
          <w:sz w:val="32"/>
          <w:szCs w:val="32"/>
          <w:lang w:val="en-US" w:eastAsia="zh-CN"/>
        </w:rPr>
        <w:t>19.67</w:t>
      </w:r>
      <w:r>
        <w:rPr>
          <w:rFonts w:ascii="Times New Roman" w:hAnsi="Times New Roman" w:eastAsia="仿宋_GB2312" w:cs="Times New Roman"/>
          <w:color w:val="auto"/>
          <w:sz w:val="32"/>
          <w:szCs w:val="32"/>
        </w:rPr>
        <w:t>万元（其中：公务用车购置费为</w:t>
      </w:r>
      <w:r>
        <w:rPr>
          <w:rFonts w:hint="eastAsia" w:ascii="Times New Roman" w:hAnsi="Times New Roman" w:eastAsia="仿宋_GB2312" w:cs="Times New Roman"/>
          <w:color w:val="auto"/>
          <w:sz w:val="32"/>
          <w:szCs w:val="32"/>
          <w:lang w:val="en-US" w:eastAsia="zh-CN"/>
        </w:rPr>
        <w:t>0</w:t>
      </w:r>
      <w:r>
        <w:rPr>
          <w:rFonts w:ascii="Times New Roman" w:hAnsi="Times New Roman" w:eastAsia="仿宋_GB2312" w:cs="Times New Roman"/>
          <w:color w:val="auto"/>
          <w:sz w:val="32"/>
          <w:szCs w:val="32"/>
        </w:rPr>
        <w:t>万元，公务用车运维费</w:t>
      </w:r>
      <w:r>
        <w:rPr>
          <w:rFonts w:hint="eastAsia" w:ascii="Times New Roman" w:hAnsi="Times New Roman" w:eastAsia="仿宋_GB2312" w:cs="Times New Roman"/>
          <w:color w:val="auto"/>
          <w:sz w:val="32"/>
          <w:szCs w:val="32"/>
          <w:lang w:val="en-US" w:eastAsia="zh-CN"/>
        </w:rPr>
        <w:t>19.67</w:t>
      </w:r>
      <w:r>
        <w:rPr>
          <w:rFonts w:ascii="Times New Roman" w:hAnsi="Times New Roman" w:eastAsia="仿宋_GB2312" w:cs="Times New Roman"/>
          <w:color w:val="auto"/>
          <w:sz w:val="32"/>
          <w:szCs w:val="32"/>
        </w:rPr>
        <w:t>万元)；公务接待费</w:t>
      </w:r>
      <w:r>
        <w:rPr>
          <w:rFonts w:hint="eastAsia" w:ascii="Times New Roman" w:hAnsi="Times New Roman" w:eastAsia="仿宋_GB2312" w:cs="Times New Roman"/>
          <w:color w:val="auto"/>
          <w:sz w:val="32"/>
          <w:szCs w:val="32"/>
          <w:lang w:val="en-US" w:eastAsia="zh-CN"/>
        </w:rPr>
        <w:t>1.42</w:t>
      </w:r>
      <w:r>
        <w:rPr>
          <w:rFonts w:ascii="Times New Roman" w:hAnsi="Times New Roman" w:eastAsia="仿宋_GB2312" w:cs="Times New Roman"/>
          <w:color w:val="auto"/>
          <w:sz w:val="32"/>
          <w:szCs w:val="32"/>
        </w:rPr>
        <w:t>万元</w:t>
      </w:r>
      <w:bookmarkStart w:id="2" w:name="_GoBack"/>
      <w:bookmarkEnd w:id="2"/>
      <w:r>
        <w:rPr>
          <w:rFonts w:ascii="Times New Roman" w:hAnsi="Times New Roman" w:eastAsia="仿宋_GB2312" w:cs="Times New Roman"/>
          <w:color w:val="auto"/>
          <w:sz w:val="32"/>
          <w:szCs w:val="32"/>
        </w:rPr>
        <w:t>。与20</w:t>
      </w:r>
      <w:r>
        <w:rPr>
          <w:rFonts w:hint="eastAsia" w:ascii="Times New Roman" w:hAnsi="Times New Roman" w:eastAsia="仿宋_GB2312" w:cs="Times New Roman"/>
          <w:color w:val="auto"/>
          <w:sz w:val="32"/>
          <w:szCs w:val="32"/>
        </w:rPr>
        <w:t>22</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相比</w:t>
      </w:r>
      <w:r>
        <w:rPr>
          <w:rFonts w:ascii="Times New Roman" w:hAnsi="Times New Roman" w:eastAsia="仿宋_GB2312" w:cs="Times New Roman"/>
          <w:color w:val="auto"/>
          <w:sz w:val="32"/>
          <w:szCs w:val="32"/>
          <w:highlight w:val="none"/>
        </w:rPr>
        <w:t>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0.40</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其中，</w:t>
      </w:r>
      <w:r>
        <w:rPr>
          <w:rFonts w:ascii="Times New Roman" w:hAnsi="Times New Roman" w:eastAsia="仿宋_GB2312" w:cs="Times New Roman"/>
          <w:color w:val="auto"/>
          <w:sz w:val="32"/>
          <w:szCs w:val="32"/>
        </w:rPr>
        <w:t>公务用车购置及运维费</w:t>
      </w:r>
      <w:r>
        <w:rPr>
          <w:rFonts w:ascii="Times New Roman" w:hAnsi="Times New Roman" w:eastAsia="仿宋_GB2312" w:cs="Times New Roman"/>
          <w:color w:val="auto"/>
          <w:sz w:val="32"/>
          <w:szCs w:val="32"/>
          <w:highlight w:val="none"/>
        </w:rPr>
        <w:t>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0.01</w:t>
      </w:r>
      <w:r>
        <w:rPr>
          <w:rFonts w:ascii="Times New Roman" w:hAnsi="Times New Roman" w:eastAsia="仿宋_GB2312" w:cs="Times New Roman"/>
          <w:color w:val="auto"/>
          <w:sz w:val="32"/>
          <w:szCs w:val="32"/>
          <w:highlight w:val="none"/>
        </w:rPr>
        <w:t>万</w:t>
      </w:r>
      <w:r>
        <w:rPr>
          <w:rFonts w:ascii="Times New Roman" w:hAnsi="Times New Roman" w:eastAsia="仿宋_GB2312" w:cs="Times New Roman"/>
          <w:color w:val="auto"/>
          <w:sz w:val="32"/>
          <w:szCs w:val="32"/>
        </w:rPr>
        <w:t>元（其中：</w:t>
      </w:r>
      <w:r>
        <w:rPr>
          <w:rFonts w:hint="eastAsia" w:ascii="Times New Roman" w:hAnsi="Times New Roman" w:eastAsia="仿宋_GB2312" w:cs="Times New Roman"/>
          <w:color w:val="auto"/>
          <w:sz w:val="32"/>
          <w:szCs w:val="32"/>
          <w:lang w:eastAsia="zh-CN"/>
        </w:rPr>
        <w:t>公务用车购置费</w:t>
      </w:r>
      <w:r>
        <w:rPr>
          <w:rFonts w:hint="eastAsia" w:ascii="Times New Roman" w:hAnsi="Times New Roman" w:eastAsia="仿宋_GB2312" w:cs="Times New Roman"/>
          <w:color w:val="auto"/>
          <w:sz w:val="32"/>
          <w:szCs w:val="32"/>
          <w:lang w:val="en-US" w:eastAsia="zh-CN"/>
        </w:rPr>
        <w:t>0万元与上年持平，</w:t>
      </w:r>
      <w:r>
        <w:rPr>
          <w:rFonts w:ascii="Times New Roman" w:hAnsi="Times New Roman" w:eastAsia="仿宋_GB2312" w:cs="Times New Roman"/>
          <w:color w:val="auto"/>
          <w:sz w:val="32"/>
          <w:szCs w:val="32"/>
        </w:rPr>
        <w:t>公务用车运维费</w:t>
      </w:r>
      <w:r>
        <w:rPr>
          <w:rFonts w:ascii="Times New Roman" w:hAnsi="Times New Roman" w:eastAsia="仿宋_GB2312" w:cs="Times New Roman"/>
          <w:color w:val="auto"/>
          <w:sz w:val="32"/>
          <w:szCs w:val="32"/>
          <w:highlight w:val="none"/>
        </w:rPr>
        <w:t>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highlight w:val="none"/>
          <w:lang w:val="en-US" w:eastAsia="zh-CN"/>
        </w:rPr>
        <w:t>0</w:t>
      </w:r>
      <w:r>
        <w:rPr>
          <w:rFonts w:hint="eastAsia" w:ascii="Times New Roman" w:hAnsi="Times New Roman" w:eastAsia="仿宋_GB2312" w:cs="Times New Roman"/>
          <w:color w:val="auto"/>
          <w:sz w:val="32"/>
          <w:szCs w:val="32"/>
          <w:lang w:val="en-US" w:eastAsia="zh-CN"/>
        </w:rPr>
        <w:t>.01</w:t>
      </w:r>
      <w:r>
        <w:rPr>
          <w:rFonts w:ascii="Times New Roman" w:hAnsi="Times New Roman" w:eastAsia="仿宋_GB2312" w:cs="Times New Roman"/>
          <w:color w:val="auto"/>
          <w:sz w:val="32"/>
          <w:szCs w:val="32"/>
        </w:rPr>
        <w:t>万元)</w:t>
      </w:r>
      <w:r>
        <w:rPr>
          <w:rFonts w:hint="eastAsia" w:ascii="Times New Roman" w:hAnsi="Times New Roman" w:eastAsia="仿宋_GB2312" w:cs="Times New Roman"/>
          <w:color w:val="auto"/>
          <w:sz w:val="32"/>
          <w:szCs w:val="32"/>
        </w:rPr>
        <w:t>，</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eastAsia="zh-CN"/>
        </w:rPr>
        <w:t>预算测算数变化</w:t>
      </w:r>
      <w:r>
        <w:rPr>
          <w:rFonts w:ascii="Times New Roman" w:hAnsi="Times New Roman" w:eastAsia="仿宋_GB2312" w:cs="Times New Roman"/>
          <w:color w:val="auto"/>
          <w:sz w:val="32"/>
          <w:szCs w:val="32"/>
        </w:rPr>
        <w:t>；公务接待费</w:t>
      </w:r>
      <w:r>
        <w:rPr>
          <w:rFonts w:hint="eastAsia" w:ascii="Times New Roman" w:hAnsi="Times New Roman" w:eastAsia="仿宋_GB2312" w:cs="Times New Roman"/>
          <w:color w:val="auto"/>
          <w:sz w:val="32"/>
          <w:szCs w:val="32"/>
          <w:lang w:val="en-US" w:eastAsia="zh-CN"/>
        </w:rPr>
        <w:t>1.42</w:t>
      </w:r>
      <w:r>
        <w:rPr>
          <w:rFonts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highlight w:val="none"/>
        </w:rPr>
        <w:t>增</w:t>
      </w:r>
      <w:r>
        <w:rPr>
          <w:rFonts w:hint="eastAsia" w:ascii="Times New Roman" w:hAnsi="Times New Roman" w:eastAsia="仿宋_GB2312" w:cs="Times New Roman"/>
          <w:color w:val="auto"/>
          <w:sz w:val="32"/>
          <w:szCs w:val="32"/>
          <w:highlight w:val="none"/>
        </w:rPr>
        <w:t>加</w:t>
      </w:r>
      <w:r>
        <w:rPr>
          <w:rFonts w:hint="eastAsia" w:ascii="Times New Roman" w:hAnsi="Times New Roman" w:eastAsia="仿宋_GB2312" w:cs="Times New Roman"/>
          <w:color w:val="auto"/>
          <w:sz w:val="32"/>
          <w:szCs w:val="32"/>
          <w:lang w:val="en-US" w:eastAsia="zh-CN"/>
        </w:rPr>
        <w:t>0.39</w:t>
      </w:r>
      <w:r>
        <w:rPr>
          <w:rFonts w:hint="eastAsia" w:ascii="Times New Roman" w:hAnsi="Times New Roman" w:eastAsia="仿宋_GB2312" w:cs="Times New Roman"/>
          <w:color w:val="auto"/>
          <w:sz w:val="32"/>
          <w:szCs w:val="32"/>
        </w:rPr>
        <w:t>万元，</w:t>
      </w:r>
      <w:r>
        <w:rPr>
          <w:rFonts w:ascii="Times New Roman" w:hAnsi="Times New Roman" w:eastAsia="仿宋_GB2312" w:cs="Times New Roman"/>
          <w:color w:val="auto"/>
          <w:sz w:val="32"/>
          <w:szCs w:val="32"/>
        </w:rPr>
        <w:t>主要原因是</w:t>
      </w:r>
      <w:r>
        <w:rPr>
          <w:rFonts w:hint="eastAsia" w:ascii="Times New Roman" w:hAnsi="Times New Roman" w:eastAsia="仿宋_GB2312" w:cs="Times New Roman"/>
          <w:color w:val="auto"/>
          <w:sz w:val="32"/>
          <w:szCs w:val="32"/>
          <w:lang w:eastAsia="zh-CN"/>
        </w:rPr>
        <w:t>按照人员数量核定公务接待费额度。</w:t>
      </w:r>
    </w:p>
    <w:p>
      <w:pPr>
        <w:numPr>
          <w:ilvl w:val="0"/>
          <w:numId w:val="1"/>
        </w:num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通</w:t>
      </w:r>
      <w:r>
        <w:rPr>
          <w:rFonts w:hint="eastAsia" w:ascii="Times New Roman" w:hAnsi="Times New Roman" w:eastAsia="仿宋_GB2312" w:cs="Times New Roman"/>
          <w:sz w:val="32"/>
          <w:szCs w:val="32"/>
        </w:rPr>
        <w:t>过依法收治强制隔离戒毒人员，落实安全管理制度，开展生理脱毒、教育适应、康复巩固和回归指导工作，重点推进戒毒人员教育矫正、康复训练、心理矫治、戒毒医疗、诊断评估执法业务，确保场所秩序稳定，实现所内戒断率100%，稳步降低戒毒人员回归社会复吸率，积极营造平安和谐社会环境。</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绩效目标：依法收治强制隔离戒毒人员，重点推进戒毒人员教育矫正、康复训练、心理矫治、戒毒医疗、诊断评估执法业务，确保场所秩序稳定。</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绩效指标：所内戒断率100%，戒毒人员回归社会复吸率较上年降低。</w:t>
      </w:r>
    </w:p>
    <w:p>
      <w:pPr>
        <w:spacing w:line="584" w:lineRule="exact"/>
        <w:ind w:firstLine="642"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本部门为实现年度绩效目标，保证绩效目标实现，结合本部门预算绩效管理的实际情况制定了如下保障措施：</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完善制度建设</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按照部门内部控制的总体要求，制定完善预算绩效管理制度、财务管理规定、现金管理办法等相关工作保障制度，为全年预算绩效目标的实现奠定制度基础。</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加强支出管理</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通过优化支出结构、编细编实预算、加快履行政府采购手续、尽快启动项目、及时支付资金，确保支出进度达标。</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加强绩效运行监控</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为加强绩效运行监控，我部门成立了预算绩效管理领导小组，下设绩效管理工作办公室，按要求开展绩效运行监控，发现问题及时采取措施，确保绩效目标如期保质实现。</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做好绩效自评</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按要求开展上年度部门预算绩效自评和重点评价工作，对评价中发现的问题及时整改，调整优化支出结构，提高财政资金使用效益。</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规范财务资产管理</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完善财务管理制度，严格审批程序，加强固定资产登记、使用和报废处置管理，做到支出合理，物尽其用。</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加强内部监督</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rPr>
        <w:t>加强宣传培训调研等</w:t>
      </w:r>
    </w:p>
    <w:p>
      <w:pPr>
        <w:autoSpaceDE w:val="0"/>
        <w:autoSpaceDN w:val="0"/>
        <w:adjustRightInd w:val="0"/>
        <w:spacing w:line="584" w:lineRule="exact"/>
        <w:ind w:left="198"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加强人员培训，提高本部门人员业务素质；加强调研，提出优化财政资金配置、提高资金使用效益的意见建议；加大宣传力度，强化预算绩效管理意识，促进预算绩效管理水平进一步提升。</w:t>
      </w:r>
    </w:p>
    <w:p>
      <w:pPr>
        <w:overflowPunct w:val="0"/>
        <w:adjustRightInd w:val="0"/>
        <w:snapToGrid w:val="0"/>
        <w:spacing w:afterLines="50" w:line="584" w:lineRule="exact"/>
        <w:ind w:firstLine="629"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二级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三级</w:t>
            </w:r>
          </w:p>
          <w:p>
            <w:pPr>
              <w:widowControl/>
              <w:adjustRightInd w:val="0"/>
              <w:snapToGrid w:val="0"/>
              <w:spacing w:line="584" w:lineRule="exact"/>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绩效指标</w:t>
            </w:r>
          </w:p>
          <w:p>
            <w:pPr>
              <w:widowControl/>
              <w:adjustRightInd w:val="0"/>
              <w:snapToGrid w:val="0"/>
              <w:spacing w:line="584" w:lineRule="exact"/>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指标值</w:t>
            </w:r>
          </w:p>
          <w:p>
            <w:pPr>
              <w:widowControl/>
              <w:adjustRightInd w:val="0"/>
              <w:snapToGrid w:val="0"/>
              <w:spacing w:line="584" w:lineRule="exact"/>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spacing w:line="584" w:lineRule="exact"/>
            </w:pPr>
          </w:p>
        </w:tc>
        <w:tc>
          <w:tcPr>
            <w:tcW w:w="897" w:type="dxa"/>
            <w:vMerge w:val="continue"/>
            <w:tcBorders>
              <w:tl2br w:val="nil"/>
              <w:tr2bl w:val="nil"/>
            </w:tcBorders>
            <w:vAlign w:val="center"/>
          </w:tcPr>
          <w:p>
            <w:pPr>
              <w:spacing w:line="584" w:lineRule="exact"/>
            </w:pPr>
          </w:p>
        </w:tc>
        <w:tc>
          <w:tcPr>
            <w:tcW w:w="2172" w:type="dxa"/>
            <w:vMerge w:val="continue"/>
            <w:tcBorders>
              <w:tl2br w:val="nil"/>
              <w:tr2bl w:val="nil"/>
            </w:tcBorders>
            <w:vAlign w:val="center"/>
          </w:tcPr>
          <w:p>
            <w:pPr>
              <w:spacing w:line="584" w:lineRule="exact"/>
            </w:pPr>
          </w:p>
        </w:tc>
        <w:tc>
          <w:tcPr>
            <w:tcW w:w="1483" w:type="dxa"/>
            <w:vMerge w:val="continue"/>
            <w:tcBorders>
              <w:tl2br w:val="nil"/>
              <w:tr2bl w:val="nil"/>
            </w:tcBorders>
            <w:vAlign w:val="center"/>
          </w:tcPr>
          <w:p>
            <w:pPr>
              <w:spacing w:line="584" w:lineRule="exact"/>
            </w:pPr>
          </w:p>
        </w:tc>
        <w:tc>
          <w:tcPr>
            <w:tcW w:w="54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spacing w:line="584" w:lineRule="exact"/>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pPr>
              <w:spacing w:line="584"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部门产出</w:t>
            </w: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数量</w:t>
            </w:r>
          </w:p>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普法考试次数</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达到目标得权重分的100%，未完成不得分</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考察组织各类人员普法考试次数</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1</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次</w:t>
            </w: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调解案件数量</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达到目标得权重分的100%，每少完成10件扣减权重分的10%，扣完为止</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反映各类案件调解工作的完成情况</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6000</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件</w:t>
            </w: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25"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人员培训</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达到目标得权重分的100%，未完成不得分</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考察全年行政执法人员和执法监督人员的培训情况</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1</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次</w:t>
            </w: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kern w:val="2"/>
                <w:sz w:val="21"/>
                <w:szCs w:val="21"/>
                <w:lang w:eastAsia="zh-CN"/>
              </w:rPr>
              <w:t>法律援助案件指派率</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达到目标得权重分的100%，每下降1%扣减权重分的10%，扣完为止</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kern w:val="2"/>
                <w:sz w:val="21"/>
                <w:szCs w:val="21"/>
                <w:lang w:eastAsia="zh-CN"/>
              </w:rPr>
              <w:t>完成法律援助案件指派率=（应指派法律援助案件数/实际指派数）×100%。</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100</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考试合格率</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达到目标得权重分的100%，每下降1%扣减权重分的10%，扣完为止</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考察新增执法人员考试合格情况</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90</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val="0"/>
              <w:tabs>
                <w:tab w:val="left" w:pos="413"/>
              </w:tabs>
              <w:overflowPunct w:val="0"/>
              <w:adjustRightInd w:val="0"/>
              <w:snapToGrid w:val="0"/>
              <w:jc w:val="both"/>
              <w:rPr>
                <w:rFonts w:ascii="方正书宋_GBK" w:eastAsia="方正书宋_GBK"/>
              </w:rPr>
            </w:pPr>
            <w:r>
              <w:rPr>
                <w:rFonts w:eastAsia="仿宋_GB2312"/>
                <w:color w:val="000000"/>
                <w:sz w:val="21"/>
                <w:szCs w:val="21"/>
                <w:lang w:eastAsia="zh-CN"/>
              </w:rPr>
              <w:t>考试组织工作事故率</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达到目标得权重分的100%，发生事故不得分</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考察组织国家统一法律职业资格考试是否发生事故</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0</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人民监督员指派及时性</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按时、顺利完成得满分，未及时完成不得分</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考察人民监督员指派时间的及时程度</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及时</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行政复议案件指派及时性</w:t>
            </w:r>
          </w:p>
        </w:tc>
        <w:tc>
          <w:tcPr>
            <w:tcW w:w="2172" w:type="dxa"/>
            <w:tcBorders>
              <w:tl2br w:val="nil"/>
              <w:tr2bl w:val="nil"/>
            </w:tcBorders>
            <w:vAlign w:val="center"/>
          </w:tcPr>
          <w:p>
            <w:pPr>
              <w:widowControl w:val="0"/>
              <w:tabs>
                <w:tab w:val="left" w:pos="457"/>
              </w:tabs>
              <w:overflowPunct w:val="0"/>
              <w:adjustRightInd w:val="0"/>
              <w:snapToGrid w:val="0"/>
              <w:jc w:val="both"/>
              <w:rPr>
                <w:rFonts w:ascii="方正书宋_GBK" w:eastAsia="方正书宋_GBK"/>
              </w:rPr>
            </w:pPr>
            <w:r>
              <w:rPr>
                <w:rFonts w:eastAsia="仿宋_GB2312"/>
                <w:color w:val="000000"/>
                <w:sz w:val="21"/>
                <w:szCs w:val="21"/>
                <w:lang w:eastAsia="zh-CN"/>
              </w:rPr>
              <w:t>按时参加复议案件庭审得满分，未及时参加不得分</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考察指派工作人员参加行政复议案件是否及时</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及时</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公用经费控制率</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三公经费实际支出数≤预算安排的三公经费数，得权重分的50%，否则不得分；日常公用经费决算数≤日常公用经费调整预算数，得权重分的50%，否则不得分</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部门本年度实际支出的公用经费总额与预算安排的公用经费总额的比率，反映和考核部门对机构运转成本的实际可控制程度。</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100</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“12348”法律服务热线工作成本控制率</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达到目标值得满分，每超出10%扣减10%权重分，扣完为止。</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“12348”法律服务热线工作成本成本控制在预算内</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100</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spacing w:line="584" w:lineRule="exact"/>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spacing w:line="584" w:lineRule="exact"/>
              <w:jc w:val="center"/>
              <w:rPr>
                <w:rFonts w:ascii="方正书宋_GBK" w:eastAsia="方正书宋_GBK"/>
              </w:rPr>
            </w:pPr>
            <w:r>
              <w:rPr>
                <w:rFonts w:ascii="方正书宋_GBK" w:eastAsia="方正书宋_GBK"/>
              </w:rPr>
              <w:t>社会</w:t>
            </w:r>
          </w:p>
          <w:p>
            <w:pPr>
              <w:widowControl/>
              <w:adjustRightInd w:val="0"/>
              <w:snapToGrid w:val="0"/>
              <w:spacing w:line="584" w:lineRule="exact"/>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司法鉴定机构年检率</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实际值达到目标值得满分，每降低1%扣权重分的10%，扣完为止。</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司法鉴定机构年检率</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100</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vMerge w:val="restart"/>
            <w:tcBorders>
              <w:tl2br w:val="nil"/>
              <w:tr2bl w:val="nil"/>
            </w:tcBorders>
            <w:vAlign w:val="center"/>
          </w:tcPr>
          <w:p>
            <w:pPr>
              <w:widowControl/>
              <w:adjustRightInd w:val="0"/>
              <w:snapToGrid w:val="0"/>
              <w:spacing w:line="584" w:lineRule="exact"/>
              <w:jc w:val="center"/>
              <w:rPr>
                <w:rFonts w:hint="eastAsia" w:ascii="方正书宋_GBK" w:eastAsia="方正书宋_GBK"/>
                <w:lang w:eastAsia="zh-CN"/>
              </w:rPr>
            </w:pPr>
            <w:r>
              <w:rPr>
                <w:rFonts w:hint="eastAsia" w:ascii="方正书宋_GBK" w:eastAsia="方正书宋_GBK"/>
                <w:lang w:eastAsia="zh-CN"/>
              </w:rPr>
              <w:t>社会</w:t>
            </w:r>
          </w:p>
          <w:p>
            <w:pPr>
              <w:widowControl/>
              <w:adjustRightInd w:val="0"/>
              <w:snapToGrid w:val="0"/>
              <w:spacing w:line="584" w:lineRule="exact"/>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kern w:val="2"/>
                <w:sz w:val="21"/>
                <w:szCs w:val="21"/>
                <w:lang w:eastAsia="zh-CN"/>
              </w:rPr>
              <w:t>提升戒毒场所稳定性</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kern w:val="2"/>
                <w:sz w:val="21"/>
                <w:szCs w:val="21"/>
                <w:lang w:eastAsia="zh-CN"/>
              </w:rPr>
              <w:t>戒毒场所未发生事故得权重分值100%，发生事故不得分</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kern w:val="2"/>
                <w:sz w:val="21"/>
                <w:szCs w:val="21"/>
                <w:lang w:eastAsia="zh-CN" w:bidi="ar"/>
              </w:rPr>
              <w:t>反映戒毒场所是否发生事故</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文字描述</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提升</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kern w:val="2"/>
                <w:sz w:val="21"/>
                <w:szCs w:val="21"/>
                <w:lang w:eastAsia="zh-CN"/>
              </w:rPr>
              <w:t>社区矫正人员再犯罪率</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kern w:val="2"/>
                <w:sz w:val="21"/>
                <w:szCs w:val="21"/>
                <w:lang w:eastAsia="zh-CN"/>
              </w:rPr>
              <w:t>达到目标得权重分100%，每提高0.1%扣权重分10%，扣完为止</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kern w:val="2"/>
                <w:sz w:val="21"/>
                <w:szCs w:val="21"/>
                <w:lang w:eastAsia="zh-CN"/>
              </w:rPr>
              <w:t>反映全市社区矫正再犯罪情况</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0.25</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pPr>
              <w:spacing w:line="584" w:lineRule="exact"/>
            </w:pPr>
          </w:p>
        </w:tc>
        <w:tc>
          <w:tcPr>
            <w:tcW w:w="825" w:type="dxa"/>
            <w:vMerge w:val="restart"/>
            <w:tcBorders>
              <w:tl2br w:val="nil"/>
              <w:tr2bl w:val="nil"/>
            </w:tcBorders>
            <w:vAlign w:val="center"/>
          </w:tcPr>
          <w:p>
            <w:pPr>
              <w:widowControl/>
              <w:adjustRightInd w:val="0"/>
              <w:snapToGrid w:val="0"/>
              <w:spacing w:line="584" w:lineRule="exact"/>
              <w:jc w:val="center"/>
              <w:rPr>
                <w:rFonts w:ascii="方正书宋_GBK" w:eastAsia="方正书宋_GBK"/>
              </w:rPr>
            </w:pPr>
            <w:r>
              <w:rPr>
                <w:rFonts w:hint="eastAsia" w:ascii="方正书宋_GBK" w:eastAsia="方正书宋_GBK"/>
              </w:rPr>
              <w:t>满意度</w:t>
            </w: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机关工作人员满意度</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达到或超过目标，得权重分的100%，每降低10%，10%，按比例扣减权重分的10%，扣完为止。</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反映机关工作人员对司法局工作的满意度</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95</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widowControl/>
              <w:adjustRightInd w:val="0"/>
              <w:snapToGrid w:val="0"/>
              <w:spacing w:line="584" w:lineRule="exact"/>
              <w:jc w:val="center"/>
              <w:rPr>
                <w:rFonts w:hint="eastAsia" w:ascii="方正书宋_GBK" w:eastAsia="方正书宋_GBK"/>
              </w:rPr>
            </w:pPr>
          </w:p>
        </w:tc>
        <w:tc>
          <w:tcPr>
            <w:tcW w:w="897" w:type="dxa"/>
            <w:tcBorders>
              <w:tl2br w:val="nil"/>
              <w:tr2bl w:val="nil"/>
            </w:tcBorders>
            <w:vAlign w:val="center"/>
          </w:tcPr>
          <w:p>
            <w:pPr>
              <w:widowControl w:val="0"/>
              <w:tabs>
                <w:tab w:val="left" w:pos="383"/>
              </w:tabs>
              <w:overflowPunct w:val="0"/>
              <w:adjustRightInd w:val="0"/>
              <w:snapToGrid w:val="0"/>
              <w:jc w:val="both"/>
              <w:rPr>
                <w:rFonts w:ascii="方正书宋_GBK" w:eastAsia="方正书宋_GBK"/>
              </w:rPr>
            </w:pPr>
            <w:r>
              <w:rPr>
                <w:rFonts w:eastAsia="仿宋_GB2312"/>
                <w:color w:val="000000"/>
                <w:sz w:val="21"/>
                <w:szCs w:val="21"/>
                <w:lang w:eastAsia="zh-CN"/>
              </w:rPr>
              <w:t>对人民监督员工作满意度</w:t>
            </w:r>
          </w:p>
        </w:tc>
        <w:tc>
          <w:tcPr>
            <w:tcW w:w="2172"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检察机关对人民监督员工作全部满意得权重分值100%，出现1次不满意不得分</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反映各级检察机关对我局指派的人民监督员工作评价</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文字描述</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满意</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pPr>
              <w:spacing w:line="584" w:lineRule="exact"/>
            </w:pPr>
          </w:p>
        </w:tc>
        <w:tc>
          <w:tcPr>
            <w:tcW w:w="825" w:type="dxa"/>
            <w:vMerge w:val="continue"/>
            <w:tcBorders>
              <w:tl2br w:val="nil"/>
              <w:tr2bl w:val="nil"/>
            </w:tcBorders>
            <w:vAlign w:val="center"/>
          </w:tcPr>
          <w:p>
            <w:pPr>
              <w:widowControl/>
              <w:adjustRightInd w:val="0"/>
              <w:snapToGrid w:val="0"/>
              <w:spacing w:line="584" w:lineRule="exact"/>
              <w:jc w:val="center"/>
              <w:rPr>
                <w:rFonts w:ascii="方正书宋_GBK" w:eastAsia="方正书宋_GBK"/>
              </w:rPr>
            </w:pPr>
          </w:p>
        </w:tc>
        <w:tc>
          <w:tcPr>
            <w:tcW w:w="89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考生满意度</w:t>
            </w:r>
          </w:p>
        </w:tc>
        <w:tc>
          <w:tcPr>
            <w:tcW w:w="2172" w:type="dxa"/>
            <w:tcBorders>
              <w:tl2br w:val="nil"/>
              <w:tr2bl w:val="nil"/>
            </w:tcBorders>
            <w:vAlign w:val="center"/>
          </w:tcPr>
          <w:p>
            <w:pPr>
              <w:widowControl w:val="0"/>
              <w:overflowPunct w:val="0"/>
              <w:adjustRightInd w:val="0"/>
              <w:snapToGrid w:val="0"/>
              <w:jc w:val="both"/>
              <w:rPr>
                <w:rFonts w:eastAsia="仿宋_GB2312"/>
                <w:color w:val="000000"/>
                <w:sz w:val="21"/>
                <w:szCs w:val="21"/>
                <w:lang w:eastAsia="zh-CN"/>
              </w:rPr>
            </w:pPr>
            <w:r>
              <w:rPr>
                <w:rFonts w:eastAsia="仿宋_GB2312"/>
                <w:color w:val="000000"/>
                <w:sz w:val="21"/>
                <w:szCs w:val="21"/>
                <w:lang w:eastAsia="zh-CN"/>
              </w:rPr>
              <w:t>1.满意度达到100%得满分；</w:t>
            </w:r>
          </w:p>
          <w:p>
            <w:pPr>
              <w:widowControl w:val="0"/>
              <w:overflowPunct w:val="0"/>
              <w:adjustRightInd w:val="0"/>
              <w:snapToGrid w:val="0"/>
              <w:jc w:val="both"/>
              <w:rPr>
                <w:rFonts w:eastAsia="仿宋_GB2312"/>
                <w:color w:val="000000"/>
                <w:sz w:val="21"/>
                <w:szCs w:val="21"/>
                <w:lang w:eastAsia="zh-CN"/>
              </w:rPr>
            </w:pPr>
            <w:r>
              <w:rPr>
                <w:rFonts w:eastAsia="仿宋_GB2312"/>
                <w:color w:val="000000"/>
                <w:sz w:val="21"/>
                <w:szCs w:val="21"/>
                <w:lang w:eastAsia="zh-CN"/>
              </w:rPr>
              <w:t>2.满意度小于或等于60%的，得0分；</w:t>
            </w:r>
          </w:p>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3.满意度在60%—99%之间的，在0分和满分之间计算确定：得分=（实际值-60%）/30%*权重</w:t>
            </w:r>
          </w:p>
        </w:tc>
        <w:tc>
          <w:tcPr>
            <w:tcW w:w="1483"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反映考生对法律职业资格考试组织工作的满意度</w:t>
            </w:r>
          </w:p>
        </w:tc>
        <w:tc>
          <w:tcPr>
            <w:tcW w:w="54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488"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100</w:t>
            </w:r>
          </w:p>
        </w:tc>
        <w:tc>
          <w:tcPr>
            <w:tcW w:w="573" w:type="dxa"/>
            <w:tcBorders>
              <w:tl2br w:val="nil"/>
              <w:tr2bl w:val="nil"/>
            </w:tcBorders>
            <w:vAlign w:val="center"/>
          </w:tcPr>
          <w:p>
            <w:pPr>
              <w:widowControl w:val="0"/>
              <w:overflowPunct w:val="0"/>
              <w:adjustRightInd w:val="0"/>
              <w:snapToGrid w:val="0"/>
              <w:jc w:val="center"/>
              <w:rPr>
                <w:rFonts w:ascii="方正书宋_GBK" w:eastAsia="方正书宋_GBK"/>
              </w:rPr>
            </w:pPr>
            <w:r>
              <w:rPr>
                <w:rFonts w:eastAsia="仿宋_GB2312"/>
                <w:color w:val="000000"/>
                <w:sz w:val="21"/>
                <w:szCs w:val="21"/>
                <w:lang w:eastAsia="zh-CN"/>
              </w:rPr>
              <w:t>%</w:t>
            </w:r>
          </w:p>
        </w:tc>
        <w:tc>
          <w:tcPr>
            <w:tcW w:w="1277" w:type="dxa"/>
            <w:tcBorders>
              <w:tl2br w:val="nil"/>
              <w:tr2bl w:val="nil"/>
            </w:tcBorders>
            <w:vAlign w:val="center"/>
          </w:tcPr>
          <w:p>
            <w:pPr>
              <w:widowControl w:val="0"/>
              <w:overflowPunct w:val="0"/>
              <w:adjustRightInd w:val="0"/>
              <w:snapToGrid w:val="0"/>
              <w:jc w:val="both"/>
              <w:rPr>
                <w:rFonts w:ascii="方正书宋_GBK" w:eastAsia="方正书宋_GBK"/>
              </w:rPr>
            </w:pPr>
            <w:r>
              <w:rPr>
                <w:rFonts w:eastAsia="仿宋_GB2312"/>
                <w:color w:val="000000"/>
                <w:sz w:val="21"/>
                <w:szCs w:val="21"/>
                <w:lang w:eastAsia="zh-CN"/>
              </w:rPr>
              <w:t>工作要求</w:t>
            </w:r>
          </w:p>
        </w:tc>
      </w:tr>
    </w:tbl>
    <w:p>
      <w:pPr>
        <w:spacing w:line="584" w:lineRule="exact"/>
        <w:ind w:firstLine="640" w:firstLineChars="200"/>
        <w:rPr>
          <w:rFonts w:hint="eastAsia" w:ascii="Times New Roman" w:hAnsi="黑体" w:eastAsia="黑体" w:cs="Times New Roman"/>
          <w:sz w:val="32"/>
          <w:szCs w:val="32"/>
        </w:rPr>
      </w:pPr>
    </w:p>
    <w:p>
      <w:pPr>
        <w:spacing w:line="584" w:lineRule="exact"/>
        <w:rPr>
          <w:rFonts w:hint="eastAsia"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hint="eastAsia" w:ascii="仿宋" w:hAnsi="仿宋" w:eastAsia="仿宋" w:cs="仿宋"/>
          <w:b w:val="0"/>
          <w:bCs w:val="0"/>
          <w:sz w:val="28"/>
        </w:rPr>
      </w:pPr>
      <w:r>
        <w:rPr>
          <w:rFonts w:hint="eastAsia" w:ascii="仿宋" w:hAnsi="仿宋" w:eastAsia="仿宋" w:cs="仿宋"/>
          <w:b w:val="0"/>
          <w:bCs w:val="0"/>
          <w:sz w:val="28"/>
        </w:rPr>
        <w:t>1.戒毒所工作经费绩效目标表</w:t>
      </w:r>
    </w:p>
    <w:p>
      <w:pPr>
        <w:spacing w:line="584" w:lineRule="exact"/>
        <w:ind w:firstLine="420" w:firstLineChars="200"/>
        <w:jc w:val="both"/>
        <w:rPr>
          <w:rFonts w:hint="eastAsia" w:ascii="Times New Roman" w:hAnsi="Times New Roman" w:eastAsia="仿宋_GB2312" w:cs="Times New Roman"/>
          <w:lang w:val="en-US" w:eastAsia="zh-CN"/>
        </w:rPr>
      </w:pPr>
      <w:r>
        <w:rPr>
          <w:rFonts w:hint="eastAsia" w:ascii="Times New Roman" w:hAnsi="Times New Roman" w:eastAsia="仿宋_GB2312" w:cs="Times New Roman"/>
          <w:lang w:val="en-US" w:eastAsia="zh-CN"/>
        </w:rPr>
        <w:t xml:space="preserve">  </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rPr>
                <w:rFonts w:hint="eastAsia" w:ascii="仿宋" w:hAnsi="仿宋" w:eastAsia="仿宋" w:cs="仿宋"/>
                <w:sz w:val="21"/>
                <w:szCs w:val="21"/>
              </w:rPr>
            </w:pPr>
            <w:r>
              <w:rPr>
                <w:rFonts w:hint="eastAsia" w:ascii="仿宋" w:hAnsi="仿宋" w:eastAsia="仿宋" w:cs="仿宋"/>
                <w:sz w:val="21"/>
                <w:szCs w:val="21"/>
              </w:rPr>
              <w:t>绩效目标</w:t>
            </w:r>
          </w:p>
        </w:tc>
        <w:tc>
          <w:tcPr>
            <w:tcW w:w="7399" w:type="dxa"/>
            <w:tcBorders>
              <w:bottom w:val="single" w:color="FFFFFF" w:sz="6" w:space="0"/>
            </w:tcBorders>
            <w:vAlign w:val="center"/>
          </w:tcPr>
          <w:p>
            <w:pPr>
              <w:pStyle w:val="18"/>
              <w:rPr>
                <w:rFonts w:hint="eastAsia" w:ascii="仿宋" w:hAnsi="仿宋" w:eastAsia="仿宋" w:cs="仿宋"/>
                <w:sz w:val="21"/>
                <w:szCs w:val="21"/>
              </w:rPr>
            </w:pPr>
            <w:r>
              <w:rPr>
                <w:rFonts w:hint="eastAsia" w:ascii="仿宋" w:hAnsi="仿宋" w:eastAsia="仿宋" w:cs="仿宋"/>
                <w:sz w:val="21"/>
                <w:szCs w:val="21"/>
              </w:rPr>
              <w:t>1.依法依规收治强戒人员，实现教育戒治规范化管理，最大限度提升脱瘾脱除质量，所内戒断率达100%，禁戒毒宣传教育普及率稳步提升。</w:t>
            </w:r>
          </w:p>
          <w:p>
            <w:pPr>
              <w:pStyle w:val="18"/>
              <w:rPr>
                <w:rFonts w:hint="eastAsia" w:ascii="仿宋" w:hAnsi="仿宋" w:eastAsia="仿宋" w:cs="仿宋"/>
                <w:sz w:val="21"/>
                <w:szCs w:val="21"/>
              </w:rPr>
            </w:pPr>
          </w:p>
          <w:p>
            <w:pPr>
              <w:pStyle w:val="18"/>
              <w:rPr>
                <w:rFonts w:hint="eastAsia" w:ascii="仿宋" w:hAnsi="仿宋" w:eastAsia="仿宋" w:cs="仿宋"/>
                <w:sz w:val="21"/>
                <w:szCs w:val="21"/>
              </w:rPr>
            </w:pPr>
            <w:r>
              <w:rPr>
                <w:rFonts w:hint="eastAsia" w:ascii="仿宋" w:hAnsi="仿宋" w:eastAsia="仿宋" w:cs="仿宋"/>
                <w:sz w:val="21"/>
                <w:szCs w:val="21"/>
              </w:rPr>
              <w:t>2.通过项目的开展，及时对安防系统中的线路和设备进行检修，保障监控安防系统有效运行，出现安防系统故障及时排除，实现场所监控数据备份留存。</w:t>
            </w:r>
          </w:p>
          <w:p>
            <w:pPr>
              <w:pStyle w:val="18"/>
              <w:rPr>
                <w:rFonts w:hint="eastAsia" w:ascii="仿宋" w:hAnsi="仿宋" w:eastAsia="仿宋" w:cs="仿宋"/>
                <w:sz w:val="21"/>
                <w:szCs w:val="21"/>
              </w:rPr>
            </w:pPr>
            <w:r>
              <w:rPr>
                <w:rFonts w:hint="eastAsia" w:ascii="仿宋" w:hAnsi="仿宋" w:eastAsia="仿宋" w:cs="仿宋"/>
                <w:sz w:val="21"/>
                <w:szCs w:val="21"/>
              </w:rPr>
              <w:t>3.确保场所水暖电供应，房屋设施设备等重点部位安全运行，场所会议保障及时到位，生活垃圾存放、清运、处置合规及时，环境卫生及美化、绿化有序开展。</w:t>
            </w:r>
          </w:p>
        </w:tc>
      </w:tr>
    </w:tbl>
    <w:p>
      <w:pPr>
        <w:spacing w:before="0" w:after="0" w:line="2" w:lineRule="exact"/>
        <w:ind w:firstLine="0"/>
        <w:jc w:val="center"/>
        <w:outlineLvl w:val="9"/>
        <w:rPr>
          <w:rFonts w:hint="eastAsia" w:ascii="仿宋" w:hAnsi="仿宋" w:eastAsia="仿宋" w:cs="仿宋"/>
          <w:sz w:val="21"/>
          <w:szCs w:val="21"/>
        </w:rPr>
      </w:pPr>
      <w:r>
        <w:rPr>
          <w:rFonts w:hint="eastAsia" w:ascii="仿宋" w:hAnsi="仿宋" w:eastAsia="仿宋" w:cs="仿宋"/>
          <w:color w:val="000000"/>
          <w:sz w:val="21"/>
          <w:szCs w:val="21"/>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一级指标</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二级指标</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三级指标</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绩效指标描述</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指标值</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仿宋" w:hAnsi="仿宋" w:eastAsia="仿宋" w:cs="仿宋"/>
                <w:sz w:val="21"/>
                <w:szCs w:val="21"/>
              </w:rPr>
            </w:pPr>
            <w:r>
              <w:rPr>
                <w:rFonts w:hint="eastAsia" w:ascii="仿宋" w:hAnsi="仿宋" w:eastAsia="仿宋" w:cs="仿宋"/>
                <w:sz w:val="21"/>
                <w:szCs w:val="21"/>
              </w:rPr>
              <w:t>产出指标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数量指标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安防监控系统设备和线路检修次数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安防监控系统设备和线路检修次数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≥100次</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安防监控系统检修单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数量指标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机关办公区门卫值班登记巡检次数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机关办公区门卫值班登记巡检次数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≥200次</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机关门卫值班记录本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数量指标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公共设备正常运行天数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公共设备正常运行天数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365天</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公共设施设备故障检修台账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数量指标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垃圾清运天数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垃圾清运天数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365天</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公共部位白洁服务记录本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质量指标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机关内部安全生产无事故率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机关内部安全生产无事故率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100%</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所领导带班日志、故障检修台账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质量指标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设备维修合格率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设备维修合格率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100%</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设备维修记录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时效指标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故障维修及时性</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故障维修及时性</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及时</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设备维修记录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时效指标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环境净化绿化美化及时性</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戒毒场所环境净化绿化美化及时性</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及时</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日常保洁服务记录本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成本指标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戒毒所工作经费总成本</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戒毒所工作经费总成本</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30万元</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成本指标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戒毒所工作经费月均成本</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戒毒所工作经费月均成本</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2.5万元</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支出明细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仿宋" w:hAnsi="仿宋" w:eastAsia="仿宋" w:cs="仿宋"/>
                <w:sz w:val="21"/>
                <w:szCs w:val="21"/>
              </w:rPr>
            </w:pPr>
            <w:r>
              <w:rPr>
                <w:rFonts w:hint="eastAsia" w:ascii="仿宋" w:hAnsi="仿宋" w:eastAsia="仿宋" w:cs="仿宋"/>
                <w:sz w:val="21"/>
                <w:szCs w:val="21"/>
              </w:rPr>
              <w:t>效益指标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社会效益指标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戒毒场所稳定性</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通过定期检修线路设备，促进场所安全稳定</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提升</w:t>
            </w:r>
          </w:p>
        </w:tc>
        <w:tc>
          <w:tcPr>
            <w:tcW w:w="2466" w:type="dxa"/>
            <w:vAlign w:val="center"/>
          </w:tcPr>
          <w:p>
            <w:pPr>
              <w:pStyle w:val="18"/>
              <w:rPr>
                <w:rFonts w:hint="eastAsia" w:ascii="仿宋" w:hAnsi="仿宋" w:eastAsia="仿宋" w:cs="仿宋"/>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仿宋" w:hAnsi="仿宋" w:eastAsia="仿宋" w:cs="仿宋"/>
                <w:sz w:val="21"/>
                <w:szCs w:val="21"/>
              </w:rPr>
            </w:pPr>
            <w:r>
              <w:rPr>
                <w:rFonts w:hint="eastAsia" w:ascii="仿宋" w:hAnsi="仿宋" w:eastAsia="仿宋" w:cs="仿宋"/>
                <w:sz w:val="21"/>
                <w:szCs w:val="21"/>
              </w:rPr>
              <w:t>满意度指标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各部门满意度</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各部门满意度调查问卷</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≥90%</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各部门满意度调查问卷</w:t>
            </w:r>
          </w:p>
        </w:tc>
      </w:tr>
    </w:tbl>
    <w:p>
      <w:pPr>
        <w:rPr>
          <w:rFonts w:hint="eastAsia" w:ascii="仿宋" w:hAnsi="仿宋" w:eastAsia="仿宋" w:cs="仿宋"/>
          <w:sz w:val="21"/>
          <w:szCs w:val="21"/>
        </w:rPr>
        <w:sectPr>
          <w:pgSz w:w="16840" w:h="11900" w:orient="landscape"/>
          <w:pgMar w:top="1440" w:right="1800" w:bottom="1440" w:left="1800" w:header="720" w:footer="720" w:gutter="0"/>
          <w:cols w:space="720" w:num="1"/>
        </w:sectPr>
      </w:pPr>
    </w:p>
    <w:p>
      <w:pPr>
        <w:spacing w:before="0" w:after="0"/>
        <w:ind w:firstLine="560"/>
        <w:jc w:val="left"/>
        <w:outlineLvl w:val="9"/>
        <w:rPr>
          <w:rFonts w:hint="eastAsia" w:ascii="仿宋" w:hAnsi="仿宋" w:eastAsia="仿宋" w:cs="仿宋"/>
          <w:b w:val="0"/>
          <w:bCs/>
          <w:sz w:val="28"/>
          <w:szCs w:val="28"/>
        </w:rPr>
      </w:pPr>
      <w:r>
        <w:rPr>
          <w:rFonts w:hint="eastAsia" w:ascii="仿宋" w:hAnsi="仿宋" w:eastAsia="仿宋" w:cs="仿宋"/>
          <w:b w:val="0"/>
          <w:bCs/>
          <w:color w:val="000000"/>
          <w:sz w:val="28"/>
          <w:szCs w:val="28"/>
        </w:rPr>
        <w:t>2、警察服装购置经费绩效目标表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rPr>
                <w:rFonts w:hint="eastAsia" w:ascii="仿宋" w:hAnsi="仿宋" w:eastAsia="仿宋" w:cs="仿宋"/>
                <w:sz w:val="21"/>
                <w:szCs w:val="21"/>
              </w:rPr>
            </w:pPr>
            <w:r>
              <w:rPr>
                <w:rFonts w:hint="eastAsia" w:ascii="仿宋" w:hAnsi="仿宋" w:eastAsia="仿宋" w:cs="仿宋"/>
                <w:sz w:val="21"/>
                <w:szCs w:val="21"/>
              </w:rPr>
              <w:t>绩效目标</w:t>
            </w:r>
          </w:p>
        </w:tc>
        <w:tc>
          <w:tcPr>
            <w:tcW w:w="7399" w:type="dxa"/>
            <w:tcBorders>
              <w:bottom w:val="single" w:color="FFFFFF" w:sz="6" w:space="0"/>
            </w:tcBorders>
            <w:vAlign w:val="center"/>
          </w:tcPr>
          <w:p>
            <w:pPr>
              <w:pStyle w:val="18"/>
              <w:rPr>
                <w:rFonts w:hint="eastAsia" w:ascii="仿宋" w:hAnsi="仿宋" w:eastAsia="仿宋" w:cs="仿宋"/>
                <w:sz w:val="21"/>
                <w:szCs w:val="21"/>
              </w:rPr>
            </w:pPr>
            <w:r>
              <w:rPr>
                <w:rFonts w:hint="eastAsia" w:ascii="仿宋" w:hAnsi="仿宋" w:eastAsia="仿宋" w:cs="仿宋"/>
                <w:sz w:val="21"/>
                <w:szCs w:val="21"/>
              </w:rPr>
              <w:t>1.通过项目的开展,实现着装统一化、规范化，推进戒毒执法规范化工作。</w:t>
            </w:r>
          </w:p>
        </w:tc>
      </w:tr>
    </w:tbl>
    <w:p>
      <w:pPr>
        <w:spacing w:before="0" w:after="0" w:line="2" w:lineRule="exact"/>
        <w:ind w:firstLine="0"/>
        <w:jc w:val="center"/>
        <w:outlineLvl w:val="9"/>
        <w:rPr>
          <w:rFonts w:hint="eastAsia" w:ascii="仿宋" w:hAnsi="仿宋" w:eastAsia="仿宋" w:cs="仿宋"/>
          <w:sz w:val="21"/>
          <w:szCs w:val="21"/>
        </w:rPr>
      </w:pPr>
      <w:r>
        <w:rPr>
          <w:rFonts w:hint="eastAsia" w:ascii="仿宋" w:hAnsi="仿宋" w:eastAsia="仿宋" w:cs="仿宋"/>
          <w:color w:val="000000"/>
          <w:sz w:val="21"/>
          <w:szCs w:val="21"/>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一级指标</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二级指标</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三级指标</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绩效指标描述</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指标值</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仿宋" w:hAnsi="仿宋" w:eastAsia="仿宋" w:cs="仿宋"/>
                <w:sz w:val="21"/>
                <w:szCs w:val="21"/>
              </w:rPr>
            </w:pPr>
            <w:r>
              <w:rPr>
                <w:rFonts w:hint="eastAsia" w:ascii="仿宋" w:hAnsi="仿宋" w:eastAsia="仿宋" w:cs="仿宋"/>
                <w:sz w:val="21"/>
                <w:szCs w:val="21"/>
              </w:rPr>
              <w:t>产出指标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数量指标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着装人数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民警及辅助人员</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54人</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《司法行政系统着装单位2023年度换装明细》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质量指标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采购合格率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无破损、无污渍的合格着装数量占总采购着装数量的比重</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100%</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验收单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时效指标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发放及时性</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到货后发放及时性</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及时</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服装发放表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成本指标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人均成本</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采购服装人均成本</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0.37万元</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合同、发票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成本指标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总成本</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采购服装总成本</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19.74万元</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合同、发票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仿宋" w:hAnsi="仿宋" w:eastAsia="仿宋" w:cs="仿宋"/>
                <w:sz w:val="21"/>
                <w:szCs w:val="21"/>
              </w:rPr>
            </w:pPr>
            <w:r>
              <w:rPr>
                <w:rFonts w:hint="eastAsia" w:ascii="仿宋" w:hAnsi="仿宋" w:eastAsia="仿宋" w:cs="仿宋"/>
                <w:sz w:val="21"/>
                <w:szCs w:val="21"/>
              </w:rPr>
              <w:t>效益指标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社会效益指标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塑造和树立戒毒人民警察良好形象</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执法过程中严格按照警容风纪纪律着警用被装，并严格按照规定执法</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塑造和树立戒毒人民警察良好形象</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仿宋" w:hAnsi="仿宋" w:eastAsia="仿宋" w:cs="仿宋"/>
                <w:sz w:val="21"/>
                <w:szCs w:val="21"/>
              </w:rPr>
            </w:pPr>
            <w:r>
              <w:rPr>
                <w:rFonts w:hint="eastAsia" w:ascii="仿宋" w:hAnsi="仿宋" w:eastAsia="仿宋" w:cs="仿宋"/>
                <w:sz w:val="21"/>
                <w:szCs w:val="21"/>
              </w:rPr>
              <w:t>满意度指标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着装人员满意度</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着装人员满意度</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≥95%</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着装人员满意度调查表</w:t>
            </w:r>
          </w:p>
        </w:tc>
      </w:tr>
    </w:tbl>
    <w:p>
      <w:pPr>
        <w:rPr>
          <w:rFonts w:hint="eastAsia" w:ascii="仿宋" w:hAnsi="仿宋" w:eastAsia="仿宋" w:cs="仿宋"/>
          <w:sz w:val="21"/>
          <w:szCs w:val="21"/>
        </w:rPr>
        <w:sectPr>
          <w:pgSz w:w="16840" w:h="11900" w:orient="landscape"/>
          <w:pgMar w:top="1361" w:right="1020" w:bottom="1134" w:left="1020" w:header="720" w:footer="720" w:gutter="0"/>
          <w:cols w:space="720" w:num="1"/>
        </w:sectPr>
      </w:pPr>
    </w:p>
    <w:p>
      <w:pPr>
        <w:spacing w:before="0" w:after="0"/>
        <w:ind w:firstLine="560"/>
        <w:jc w:val="left"/>
        <w:outlineLvl w:val="9"/>
        <w:rPr>
          <w:rFonts w:hint="eastAsia" w:ascii="仿宋" w:hAnsi="仿宋" w:eastAsia="仿宋" w:cs="仿宋"/>
          <w:b w:val="0"/>
          <w:bCs/>
          <w:sz w:val="28"/>
          <w:szCs w:val="28"/>
        </w:rPr>
      </w:pPr>
      <w:r>
        <w:rPr>
          <w:rFonts w:hint="eastAsia" w:ascii="仿宋" w:hAnsi="仿宋" w:eastAsia="仿宋" w:cs="仿宋"/>
          <w:b w:val="0"/>
          <w:bCs/>
          <w:color w:val="000000"/>
          <w:sz w:val="28"/>
          <w:szCs w:val="28"/>
          <w:lang w:val="en-US" w:eastAsia="zh-CN"/>
        </w:rPr>
        <w:t>3</w:t>
      </w:r>
      <w:r>
        <w:rPr>
          <w:rFonts w:hint="eastAsia" w:ascii="仿宋" w:hAnsi="仿宋" w:eastAsia="仿宋" w:cs="仿宋"/>
          <w:b w:val="0"/>
          <w:bCs/>
          <w:color w:val="000000"/>
          <w:sz w:val="28"/>
          <w:szCs w:val="28"/>
        </w:rPr>
        <w:t>、人民警察值勤津贴、加班费绩效目标表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rPr>
                <w:rFonts w:hint="eastAsia" w:ascii="仿宋" w:hAnsi="仿宋" w:eastAsia="仿宋" w:cs="仿宋"/>
                <w:sz w:val="21"/>
                <w:szCs w:val="21"/>
              </w:rPr>
            </w:pPr>
            <w:r>
              <w:rPr>
                <w:rFonts w:hint="eastAsia" w:ascii="仿宋" w:hAnsi="仿宋" w:eastAsia="仿宋" w:cs="仿宋"/>
                <w:sz w:val="21"/>
                <w:szCs w:val="21"/>
              </w:rPr>
              <w:t>绩效目标</w:t>
            </w:r>
          </w:p>
        </w:tc>
        <w:tc>
          <w:tcPr>
            <w:tcW w:w="7399" w:type="dxa"/>
            <w:tcBorders>
              <w:bottom w:val="single" w:color="FFFFFF" w:sz="6" w:space="0"/>
            </w:tcBorders>
            <w:vAlign w:val="center"/>
          </w:tcPr>
          <w:p>
            <w:pPr>
              <w:pStyle w:val="18"/>
              <w:rPr>
                <w:rFonts w:hint="eastAsia" w:ascii="仿宋" w:hAnsi="仿宋" w:eastAsia="仿宋" w:cs="仿宋"/>
                <w:sz w:val="21"/>
                <w:szCs w:val="21"/>
              </w:rPr>
            </w:pPr>
            <w:r>
              <w:rPr>
                <w:rFonts w:hint="eastAsia" w:ascii="仿宋" w:hAnsi="仿宋" w:eastAsia="仿宋" w:cs="仿宋"/>
                <w:sz w:val="21"/>
                <w:szCs w:val="21"/>
              </w:rPr>
              <w:t>1.通过项目的开展如期发放人民警察值勤津贴、加班费，确保戒毒工作有序进行。</w:t>
            </w:r>
          </w:p>
        </w:tc>
      </w:tr>
    </w:tbl>
    <w:p>
      <w:pPr>
        <w:spacing w:before="0" w:after="0" w:line="2" w:lineRule="exact"/>
        <w:ind w:firstLine="0"/>
        <w:jc w:val="center"/>
        <w:outlineLvl w:val="9"/>
        <w:rPr>
          <w:rFonts w:hint="eastAsia" w:ascii="仿宋" w:hAnsi="仿宋" w:eastAsia="仿宋" w:cs="仿宋"/>
          <w:sz w:val="21"/>
          <w:szCs w:val="21"/>
        </w:rPr>
      </w:pPr>
      <w:r>
        <w:rPr>
          <w:rFonts w:hint="eastAsia" w:ascii="仿宋" w:hAnsi="仿宋" w:eastAsia="仿宋" w:cs="仿宋"/>
          <w:color w:val="000000"/>
          <w:sz w:val="21"/>
          <w:szCs w:val="21"/>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一级指标</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二级指标</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三级指标</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绩效指标描述</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指标值</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仿宋" w:hAnsi="仿宋" w:eastAsia="仿宋" w:cs="仿宋"/>
                <w:sz w:val="21"/>
                <w:szCs w:val="21"/>
              </w:rPr>
            </w:pPr>
            <w:r>
              <w:rPr>
                <w:rFonts w:hint="eastAsia" w:ascii="仿宋" w:hAnsi="仿宋" w:eastAsia="仿宋" w:cs="仿宋"/>
                <w:sz w:val="21"/>
                <w:szCs w:val="21"/>
              </w:rPr>
              <w:t>产出指标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数量指标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月值勤天数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月值勤天数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22天</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人社部、财政部《关于执行人民警察值勤岗位津贴有关问题的通知》（人社部规[2017]10号）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质量指标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在职人民警察出勤率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据实考核每名人民警察每月的出勤实际天数 出勤天数/总天数</w:t>
            </w:r>
          </w:p>
          <w:p>
            <w:pPr>
              <w:pStyle w:val="18"/>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100%</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干警考勤表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时效指标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津贴、加班费发放及时性</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值勤津贴、加班费发放及时性</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及时</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值勤津贴、加班费发放表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成本指标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月均成本</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值勤津贴、加班费月均发放金额</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6.62万元</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干警考勤表、值勤津贴、加班费发放表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成本指标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总成本</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值勤津贴、加班费发放金额</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79.49万元</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干警考勤表、值勤津贴、加班费发放表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仿宋" w:hAnsi="仿宋" w:eastAsia="仿宋" w:cs="仿宋"/>
                <w:sz w:val="21"/>
                <w:szCs w:val="21"/>
              </w:rPr>
            </w:pPr>
            <w:r>
              <w:rPr>
                <w:rFonts w:hint="eastAsia" w:ascii="仿宋" w:hAnsi="仿宋" w:eastAsia="仿宋" w:cs="仿宋"/>
                <w:sz w:val="21"/>
                <w:szCs w:val="21"/>
              </w:rPr>
              <w:t>效益指标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社会效益指标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促进场所安全稳定</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规范出勤考核，严格执法管理，加强值班警力配备。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稳定性提升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仿宋" w:hAnsi="仿宋" w:eastAsia="仿宋" w:cs="仿宋"/>
                <w:sz w:val="21"/>
                <w:szCs w:val="21"/>
              </w:rPr>
            </w:pPr>
            <w:r>
              <w:rPr>
                <w:rFonts w:hint="eastAsia" w:ascii="仿宋" w:hAnsi="仿宋" w:eastAsia="仿宋" w:cs="仿宋"/>
                <w:sz w:val="21"/>
                <w:szCs w:val="21"/>
              </w:rPr>
              <w:t>满意度指标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干警满意度</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干警满意度</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≥95%</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干警满意度调查问卷</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rPr>
          <w:b w:val="0"/>
          <w:bCs/>
        </w:rPr>
      </w:pPr>
      <w:r>
        <w:rPr>
          <w:rFonts w:hint="eastAsia" w:ascii="仿宋" w:hAnsi="仿宋" w:eastAsia="仿宋" w:cs="仿宋"/>
          <w:b w:val="0"/>
          <w:bCs/>
          <w:color w:val="000000"/>
          <w:sz w:val="28"/>
          <w:lang w:val="en-US" w:eastAsia="zh-CN"/>
        </w:rPr>
        <w:t>4</w:t>
      </w:r>
      <w:r>
        <w:rPr>
          <w:rFonts w:hint="eastAsia" w:ascii="仿宋" w:hAnsi="仿宋" w:eastAsia="仿宋" w:cs="仿宋"/>
          <w:b w:val="0"/>
          <w:bCs/>
          <w:color w:val="000000"/>
          <w:sz w:val="28"/>
        </w:rPr>
        <w:t>、三类及安全警戒岗位用工经费绩效目标表</w:t>
      </w:r>
    </w:p>
    <w:tbl>
      <w:tblPr>
        <w:tblStyle w:val="8"/>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6"/>
              <w:rPr>
                <w:rFonts w:hint="eastAsia" w:ascii="仿宋" w:hAnsi="仿宋" w:eastAsia="仿宋" w:cs="仿宋"/>
                <w:sz w:val="21"/>
                <w:szCs w:val="21"/>
              </w:rPr>
            </w:pPr>
            <w:r>
              <w:rPr>
                <w:rFonts w:hint="eastAsia" w:ascii="仿宋" w:hAnsi="仿宋" w:eastAsia="仿宋" w:cs="仿宋"/>
                <w:sz w:val="21"/>
                <w:szCs w:val="21"/>
              </w:rPr>
              <w:t>绩效目标</w:t>
            </w:r>
          </w:p>
        </w:tc>
        <w:tc>
          <w:tcPr>
            <w:tcW w:w="7399" w:type="dxa"/>
            <w:tcBorders>
              <w:bottom w:val="single" w:color="FFFFFF" w:sz="6" w:space="0"/>
            </w:tcBorders>
            <w:vAlign w:val="center"/>
          </w:tcPr>
          <w:p>
            <w:pPr>
              <w:pStyle w:val="18"/>
              <w:rPr>
                <w:rFonts w:hint="eastAsia" w:ascii="仿宋" w:hAnsi="仿宋" w:eastAsia="仿宋" w:cs="仿宋"/>
                <w:sz w:val="21"/>
                <w:szCs w:val="21"/>
              </w:rPr>
            </w:pPr>
            <w:r>
              <w:rPr>
                <w:rFonts w:hint="eastAsia" w:ascii="仿宋" w:hAnsi="仿宋" w:eastAsia="仿宋" w:cs="仿宋"/>
                <w:sz w:val="21"/>
                <w:szCs w:val="21"/>
              </w:rPr>
              <w:t>1.通过项目的开展完成警戒护卫巡逻巡查工作，对周边围墙、院区重点部位进行定时巡查，实现场所安全稳定。</w:t>
            </w:r>
          </w:p>
          <w:p>
            <w:pPr>
              <w:pStyle w:val="18"/>
              <w:rPr>
                <w:rFonts w:hint="eastAsia" w:ascii="仿宋" w:hAnsi="仿宋" w:eastAsia="仿宋" w:cs="仿宋"/>
                <w:sz w:val="21"/>
                <w:szCs w:val="21"/>
              </w:rPr>
            </w:pPr>
            <w:r>
              <w:rPr>
                <w:rFonts w:hint="eastAsia" w:ascii="仿宋" w:hAnsi="仿宋" w:eastAsia="仿宋" w:cs="仿宋"/>
                <w:sz w:val="21"/>
                <w:szCs w:val="21"/>
              </w:rPr>
              <w:t>2.通过项目的开展实现人防、物防、技防相辅相成，保障戒毒场所安全稳定的实现。</w:t>
            </w:r>
          </w:p>
        </w:tc>
      </w:tr>
    </w:tbl>
    <w:p>
      <w:pPr>
        <w:spacing w:before="0" w:after="0" w:line="2" w:lineRule="exact"/>
        <w:ind w:firstLine="0"/>
        <w:jc w:val="center"/>
        <w:outlineLvl w:val="9"/>
        <w:rPr>
          <w:rFonts w:hint="eastAsia" w:ascii="仿宋" w:hAnsi="仿宋" w:eastAsia="仿宋" w:cs="仿宋"/>
          <w:sz w:val="21"/>
          <w:szCs w:val="21"/>
        </w:rPr>
      </w:pPr>
      <w:r>
        <w:rPr>
          <w:rFonts w:hint="eastAsia" w:ascii="仿宋" w:hAnsi="仿宋" w:eastAsia="仿宋" w:cs="仿宋"/>
          <w:color w:val="000000"/>
          <w:sz w:val="21"/>
          <w:szCs w:val="21"/>
        </w:rPr>
        <w:t xml:space="preserve"> </w:t>
      </w:r>
    </w:p>
    <w:tbl>
      <w:tblPr>
        <w:tblStyle w:val="8"/>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一级指标</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二级指标</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三级指标</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绩效指标描述</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指标值</w:t>
            </w:r>
          </w:p>
        </w:tc>
        <w:tc>
          <w:tcPr>
            <w:tcW w:w="2466" w:type="dxa"/>
            <w:vAlign w:val="center"/>
          </w:tcPr>
          <w:p>
            <w:pPr>
              <w:pStyle w:val="16"/>
              <w:rPr>
                <w:rFonts w:hint="eastAsia" w:ascii="仿宋" w:hAnsi="仿宋" w:eastAsia="仿宋" w:cs="仿宋"/>
                <w:sz w:val="21"/>
                <w:szCs w:val="21"/>
              </w:rPr>
            </w:pPr>
            <w:r>
              <w:rPr>
                <w:rFonts w:hint="eastAsia" w:ascii="仿宋" w:hAnsi="仿宋" w:eastAsia="仿宋" w:cs="仿宋"/>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9"/>
              <w:rPr>
                <w:rFonts w:hint="eastAsia" w:ascii="仿宋" w:hAnsi="仿宋" w:eastAsia="仿宋" w:cs="仿宋"/>
                <w:sz w:val="21"/>
                <w:szCs w:val="21"/>
              </w:rPr>
            </w:pPr>
            <w:r>
              <w:rPr>
                <w:rFonts w:hint="eastAsia" w:ascii="仿宋" w:hAnsi="仿宋" w:eastAsia="仿宋" w:cs="仿宋"/>
                <w:sz w:val="21"/>
                <w:szCs w:val="21"/>
              </w:rPr>
              <w:t>产出指标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数量指标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警务辅助人员数量</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场所关键技术等岗位，以及安防管理等警务辅助人员具体数量</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≤20人</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《廊坊市司法局关于市劳教所招聘辅助民警管理、生产关键要害、技术辅助岗位合同制用工及所需经费的请示》《廊坊市机构编制委员会办公室关于为廊坊市强制隔离戒毒所增加安全警戒岗位用工的批复》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数量指标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报道天数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聘用人员到岗所用天数</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≤1天</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三类人员聘用合同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质量指标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警务辅助人员出勤率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根据相关岗位特点，分别核定警务辅助人员的出勤率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100%</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三类警戒岗位用工人员考勤表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时效指标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上岗及时性</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到本职工作岗位及时性</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及时</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三类及安全警戒岗位报到表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成本指标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人均成本</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三类及安全警戒岗位年人均用工费用</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4.44万元</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合同、支付单据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pPr>
              <w:rPr>
                <w:rFonts w:hint="eastAsia" w:ascii="仿宋" w:hAnsi="仿宋" w:eastAsia="仿宋" w:cs="仿宋"/>
                <w:sz w:val="21"/>
                <w:szCs w:val="21"/>
              </w:rPr>
            </w:pP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成本指标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总成本</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三类及安全警戒岗位年总用工费用</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88.8万元</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合同、支付单据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仿宋" w:hAnsi="仿宋" w:eastAsia="仿宋" w:cs="仿宋"/>
                <w:sz w:val="21"/>
                <w:szCs w:val="21"/>
              </w:rPr>
            </w:pPr>
            <w:r>
              <w:rPr>
                <w:rFonts w:hint="eastAsia" w:ascii="仿宋" w:hAnsi="仿宋" w:eastAsia="仿宋" w:cs="仿宋"/>
                <w:sz w:val="21"/>
                <w:szCs w:val="21"/>
              </w:rPr>
              <w:t>效益指标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社会效益指标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促进场所安全稳定</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通过引进相关人员，保障场所有序运转，全面落实场所安全管理工作</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稳定性提升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9"/>
              <w:rPr>
                <w:rFonts w:hint="eastAsia" w:ascii="仿宋" w:hAnsi="仿宋" w:eastAsia="仿宋" w:cs="仿宋"/>
                <w:sz w:val="21"/>
                <w:szCs w:val="21"/>
              </w:rPr>
            </w:pPr>
            <w:r>
              <w:rPr>
                <w:rFonts w:hint="eastAsia" w:ascii="仿宋" w:hAnsi="仿宋" w:eastAsia="仿宋" w:cs="仿宋"/>
                <w:sz w:val="21"/>
                <w:szCs w:val="21"/>
              </w:rPr>
              <w:t>满意度指标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服务对象满意度指标</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部门满意度</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各用工部门对所聘用三类人员满意度</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≥95%</w:t>
            </w:r>
          </w:p>
        </w:tc>
        <w:tc>
          <w:tcPr>
            <w:tcW w:w="2466" w:type="dxa"/>
            <w:vAlign w:val="center"/>
          </w:tcPr>
          <w:p>
            <w:pPr>
              <w:pStyle w:val="18"/>
              <w:rPr>
                <w:rFonts w:hint="eastAsia" w:ascii="仿宋" w:hAnsi="仿宋" w:eastAsia="仿宋" w:cs="仿宋"/>
                <w:sz w:val="21"/>
                <w:szCs w:val="21"/>
              </w:rPr>
            </w:pPr>
            <w:r>
              <w:rPr>
                <w:rFonts w:hint="eastAsia" w:ascii="仿宋" w:hAnsi="仿宋" w:eastAsia="仿宋" w:cs="仿宋"/>
                <w:sz w:val="21"/>
                <w:szCs w:val="21"/>
              </w:rPr>
              <w:t>《各用工部门对所聘用三类人员满意度调查问卷》</w:t>
            </w:r>
          </w:p>
        </w:tc>
      </w:tr>
    </w:tbl>
    <w:p>
      <w:pPr>
        <w:spacing w:line="584" w:lineRule="exact"/>
        <w:ind w:firstLine="420" w:firstLineChars="200"/>
        <w:jc w:val="both"/>
        <w:rPr>
          <w:rFonts w:hint="eastAsia" w:ascii="Times New Roman" w:hAnsi="Times New Roman" w:eastAsia="仿宋_GB2312" w:cs="Times New Roman"/>
          <w:lang w:val="en-US" w:eastAsia="zh-C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44.4</w:t>
      </w:r>
      <w:r>
        <w:rPr>
          <w:rFonts w:ascii="Times New Roman" w:hAnsi="Times New Roman" w:eastAsia="仿宋_GB2312"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spacing w:line="584" w:lineRule="exact"/>
        <w:jc w:val="center"/>
        <w:outlineLvl w:val="1"/>
        <w:rPr>
          <w:rFonts w:hint="eastAsia" w:ascii="方正小标宋_GBK" w:eastAsia="方正小标宋_GBK" w:cs="Times New Roman"/>
          <w:sz w:val="32"/>
        </w:rPr>
      </w:pPr>
      <w:bookmarkStart w:id="1" w:name="_Toc64920910"/>
      <w:r>
        <w:rPr>
          <w:rFonts w:hint="eastAsia" w:ascii="方正小标宋_GBK" w:eastAsia="方正小标宋_GBK" w:cs="Times New Roman"/>
          <w:sz w:val="32"/>
        </w:rPr>
        <w:t>部门政府采购预算</w:t>
      </w:r>
      <w:bookmarkEnd w:id="1"/>
    </w:p>
    <w:p>
      <w:pPr>
        <w:spacing w:line="584" w:lineRule="exact"/>
        <w:jc w:val="center"/>
        <w:outlineLvl w:val="1"/>
        <w:rPr>
          <w:rFonts w:ascii="方正小标宋_GBK" w:eastAsia="方正小标宋_GBK" w:cs="Times New Roman"/>
          <w:sz w:val="32"/>
        </w:rPr>
      </w:pPr>
      <w:r>
        <w:rPr>
          <w:rFonts w:hint="eastAsia"/>
          <w:lang w:eastAsia="zh-CN"/>
        </w:rPr>
        <w:t>河北省廊坊市强制隔离戒毒所</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spacing w:line="584" w:lineRule="exact"/>
            </w:pPr>
            <w:r>
              <w:t>合  计</w:t>
            </w:r>
          </w:p>
        </w:tc>
        <w:tc>
          <w:tcPr>
            <w:tcW w:w="964" w:type="dxa"/>
            <w:vAlign w:val="center"/>
          </w:tcPr>
          <w:p>
            <w:pPr>
              <w:pStyle w:val="21"/>
              <w:spacing w:line="584" w:lineRule="exact"/>
              <w:rPr>
                <w:rFonts w:hint="eastAsia" w:eastAsia="方正书宋_GBK"/>
                <w:lang w:val="en-US" w:eastAsia="zh-CN"/>
              </w:rPr>
            </w:pPr>
            <w:r>
              <w:rPr>
                <w:rFonts w:hint="eastAsia"/>
                <w:lang w:val="en-US" w:eastAsia="zh-CN"/>
              </w:rPr>
              <w:t>88.8</w:t>
            </w:r>
          </w:p>
        </w:tc>
        <w:tc>
          <w:tcPr>
            <w:tcW w:w="1134" w:type="dxa"/>
            <w:vAlign w:val="center"/>
          </w:tcPr>
          <w:p>
            <w:pPr>
              <w:pStyle w:val="22"/>
              <w:spacing w:line="584" w:lineRule="exact"/>
              <w:rPr>
                <w:rFonts w:hint="eastAsia" w:eastAsia="方正书宋_GBK"/>
                <w:lang w:eastAsia="zh-CN"/>
              </w:rPr>
            </w:pPr>
            <w:r>
              <w:rPr>
                <w:rFonts w:hint="eastAsia"/>
                <w:lang w:eastAsia="zh-CN"/>
              </w:rPr>
              <w:t>保安服务</w:t>
            </w:r>
          </w:p>
        </w:tc>
        <w:tc>
          <w:tcPr>
            <w:tcW w:w="1134" w:type="dxa"/>
            <w:vAlign w:val="center"/>
          </w:tcPr>
          <w:p>
            <w:pPr>
              <w:pStyle w:val="22"/>
              <w:spacing w:line="584" w:lineRule="exact"/>
              <w:rPr>
                <w:rFonts w:hint="eastAsia" w:eastAsia="方正书宋_GBK"/>
                <w:lang w:val="en-US" w:eastAsia="zh-CN"/>
              </w:rPr>
            </w:pPr>
            <w:r>
              <w:rPr>
                <w:rFonts w:hint="eastAsia"/>
                <w:lang w:val="en-US" w:eastAsia="zh-CN"/>
              </w:rPr>
              <w:t>C05040300</w:t>
            </w:r>
          </w:p>
        </w:tc>
        <w:tc>
          <w:tcPr>
            <w:tcW w:w="709" w:type="dxa"/>
            <w:vAlign w:val="center"/>
          </w:tcPr>
          <w:p>
            <w:pPr>
              <w:pStyle w:val="20"/>
              <w:spacing w:line="584" w:lineRule="exact"/>
              <w:rPr>
                <w:rFonts w:hint="eastAsia" w:eastAsia="方正书宋_GBK"/>
                <w:lang w:val="en-US" w:eastAsia="zh-CN"/>
              </w:rPr>
            </w:pPr>
            <w:r>
              <w:rPr>
                <w:rFonts w:hint="eastAsia"/>
                <w:lang w:val="en-US" w:eastAsia="zh-CN"/>
              </w:rPr>
              <w:t>人</w:t>
            </w:r>
          </w:p>
        </w:tc>
        <w:tc>
          <w:tcPr>
            <w:tcW w:w="850" w:type="dxa"/>
            <w:vAlign w:val="center"/>
          </w:tcPr>
          <w:p>
            <w:pPr>
              <w:pStyle w:val="21"/>
              <w:spacing w:line="584" w:lineRule="exact"/>
              <w:rPr>
                <w:rFonts w:hint="eastAsia" w:eastAsia="方正书宋_GBK"/>
                <w:lang w:val="en-US" w:eastAsia="zh-CN"/>
              </w:rPr>
            </w:pPr>
            <w:r>
              <w:rPr>
                <w:rFonts w:hint="eastAsia"/>
                <w:lang w:val="en-US" w:eastAsia="zh-CN"/>
              </w:rPr>
              <w:t>10</w:t>
            </w:r>
          </w:p>
        </w:tc>
        <w:tc>
          <w:tcPr>
            <w:tcW w:w="850" w:type="dxa"/>
            <w:vAlign w:val="center"/>
          </w:tcPr>
          <w:p>
            <w:pPr>
              <w:pStyle w:val="21"/>
              <w:spacing w:line="584" w:lineRule="exact"/>
              <w:rPr>
                <w:rFonts w:hint="eastAsia" w:eastAsia="方正书宋_GBK"/>
                <w:lang w:val="en-US" w:eastAsia="zh-CN"/>
              </w:rPr>
            </w:pPr>
            <w:r>
              <w:rPr>
                <w:rFonts w:hint="eastAsia"/>
                <w:lang w:val="en-US" w:eastAsia="zh-CN"/>
              </w:rPr>
              <w:t>4.44</w:t>
            </w:r>
          </w:p>
        </w:tc>
        <w:tc>
          <w:tcPr>
            <w:tcW w:w="964" w:type="dxa"/>
            <w:vAlign w:val="center"/>
          </w:tcPr>
          <w:p>
            <w:pPr>
              <w:pStyle w:val="21"/>
              <w:spacing w:line="584" w:lineRule="exact"/>
              <w:rPr>
                <w:rFonts w:hint="eastAsia" w:eastAsia="方正书宋_GBK"/>
                <w:lang w:val="en-US" w:eastAsia="zh-CN"/>
              </w:rPr>
            </w:pPr>
            <w:r>
              <w:rPr>
                <w:rFonts w:hint="eastAsia"/>
                <w:lang w:val="en-US" w:eastAsia="zh-CN"/>
              </w:rPr>
              <w:t>44.4</w:t>
            </w:r>
          </w:p>
        </w:tc>
        <w:tc>
          <w:tcPr>
            <w:tcW w:w="964" w:type="dxa"/>
            <w:vAlign w:val="center"/>
          </w:tcPr>
          <w:p>
            <w:pPr>
              <w:pStyle w:val="21"/>
              <w:spacing w:line="584" w:lineRule="exact"/>
              <w:rPr>
                <w:rFonts w:hint="eastAsia" w:eastAsia="方正书宋_GBK"/>
                <w:lang w:val="en-US" w:eastAsia="zh-CN"/>
              </w:rPr>
            </w:pPr>
            <w:r>
              <w:rPr>
                <w:rFonts w:hint="eastAsia"/>
                <w:lang w:val="en-US" w:eastAsia="zh-CN"/>
              </w:rPr>
              <w:t>44.4</w:t>
            </w: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pPr>
          </w:p>
        </w:tc>
        <w:tc>
          <w:tcPr>
            <w:tcW w:w="964" w:type="dxa"/>
            <w:vAlign w:val="center"/>
          </w:tcPr>
          <w:p>
            <w:pPr>
              <w:pStyle w:val="21"/>
              <w:spacing w:line="584" w:lineRule="exact"/>
              <w:rPr>
                <w:rFonts w:hint="eastAsia" w:eastAsia="方正书宋_GBK"/>
                <w:lang w:val="en-US" w:eastAsia="zh-CN"/>
              </w:rPr>
            </w:pPr>
            <w:r>
              <w:rPr>
                <w:rFonts w:hint="eastAsia"/>
                <w:lang w:val="en-US" w:eastAsia="zh-CN"/>
              </w:rPr>
              <w:t>44.4</w:t>
            </w: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河北省廊坊市强制隔离戒毒所</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4384.88684</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河北省廊坊市强制隔离戒毒所</w:t>
            </w:r>
          </w:p>
        </w:tc>
        <w:tc>
          <w:tcPr>
            <w:tcW w:w="5103" w:type="dxa"/>
            <w:tcBorders>
              <w:top w:val="nil"/>
              <w:left w:val="nil"/>
              <w:bottom w:val="nil"/>
              <w:right w:val="nil"/>
            </w:tcBorders>
            <w:shd w:val="clear" w:color="auto" w:fill="auto"/>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4384.88684</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15023.24</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1532.07</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1531</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197.29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9</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154.23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1891.28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1192</w:t>
            </w:r>
          </w:p>
        </w:tc>
        <w:tc>
          <w:tcPr>
            <w:tcW w:w="5103" w:type="dxa"/>
            <w:tcBorders>
              <w:top w:val="nil"/>
              <w:left w:val="nil"/>
              <w:bottom w:val="single" w:color="auto" w:sz="4" w:space="0"/>
              <w:right w:val="single" w:color="auto" w:sz="4" w:space="0"/>
            </w:tcBorders>
            <w:shd w:val="clear" w:color="auto" w:fill="auto"/>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807.31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2"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2"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b/>
          <w:color w:val="FF0000"/>
          <w:sz w:val="32"/>
          <w:szCs w:val="32"/>
        </w:rPr>
      </w:pPr>
    </w:p>
    <w:sectPr>
      <w:footerReference r:id="rId3" w:type="default"/>
      <w:pgSz w:w="16838" w:h="11906" w:orient="landscape"/>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roman"/>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文泉驿正黑">
    <w:panose1 w:val="02000603000000000000"/>
    <w:charset w:val="86"/>
    <w:family w:val="auto"/>
    <w:pitch w:val="default"/>
    <w:sig w:usb0="900002BF" w:usb1="2BDF7DFB" w:usb2="00000036" w:usb3="00000000" w:csb0="603E000D" w:csb1="D2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16</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77F97A"/>
    <w:multiLevelType w:val="singleLevel"/>
    <w:tmpl w:val="4577F97A"/>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75B0"/>
    <w:rsid w:val="00CD2773"/>
    <w:rsid w:val="00CD3C04"/>
    <w:rsid w:val="00CD52C7"/>
    <w:rsid w:val="00CE01BA"/>
    <w:rsid w:val="00CE143B"/>
    <w:rsid w:val="00CE3A91"/>
    <w:rsid w:val="00CF38DE"/>
    <w:rsid w:val="00D07DBA"/>
    <w:rsid w:val="00D23C16"/>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5D2027"/>
    <w:rsid w:val="069A152B"/>
    <w:rsid w:val="0D392B57"/>
    <w:rsid w:val="0EB036DA"/>
    <w:rsid w:val="0F514E90"/>
    <w:rsid w:val="10BB295A"/>
    <w:rsid w:val="11091B1C"/>
    <w:rsid w:val="13180988"/>
    <w:rsid w:val="13E32453"/>
    <w:rsid w:val="165C77D5"/>
    <w:rsid w:val="19115FBA"/>
    <w:rsid w:val="1A035976"/>
    <w:rsid w:val="1ED43D5D"/>
    <w:rsid w:val="1F712961"/>
    <w:rsid w:val="1FE20805"/>
    <w:rsid w:val="20BF6B46"/>
    <w:rsid w:val="25D16F77"/>
    <w:rsid w:val="35AD4D33"/>
    <w:rsid w:val="3AF6062E"/>
    <w:rsid w:val="3E617882"/>
    <w:rsid w:val="3EE50C44"/>
    <w:rsid w:val="424B0F87"/>
    <w:rsid w:val="474C4C24"/>
    <w:rsid w:val="48FC556D"/>
    <w:rsid w:val="50BC5B7E"/>
    <w:rsid w:val="51D82C68"/>
    <w:rsid w:val="527A221A"/>
    <w:rsid w:val="52B97D15"/>
    <w:rsid w:val="56124553"/>
    <w:rsid w:val="5633416F"/>
    <w:rsid w:val="565F0B13"/>
    <w:rsid w:val="57561200"/>
    <w:rsid w:val="5C9C3794"/>
    <w:rsid w:val="5D840F7A"/>
    <w:rsid w:val="5E365022"/>
    <w:rsid w:val="61F77E99"/>
    <w:rsid w:val="65AB22B9"/>
    <w:rsid w:val="65FE25E8"/>
    <w:rsid w:val="66A37BC6"/>
    <w:rsid w:val="672E0268"/>
    <w:rsid w:val="702E01A3"/>
    <w:rsid w:val="78023151"/>
    <w:rsid w:val="7A1573EA"/>
    <w:rsid w:val="7C30275A"/>
    <w:rsid w:val="7DC63804"/>
    <w:rsid w:val="7F054064"/>
    <w:rsid w:val="BDDC1048"/>
    <w:rsid w:val="D58D2F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754</Words>
  <Characters>4300</Characters>
  <Lines>35</Lines>
  <Paragraphs>10</Paragraphs>
  <TotalTime>38</TotalTime>
  <ScaleCrop>false</ScaleCrop>
  <LinksUpToDate>false</LinksUpToDate>
  <CharactersWithSpaces>5044</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2020-01-13T19:27:00Z</dcterms:created>
  <dc:creator>guest</dc:creator>
  <cp:lastModifiedBy>uos</cp:lastModifiedBy>
  <cp:lastPrinted>2023-01-29T17:01:00Z</cp:lastPrinted>
  <dcterms:modified xsi:type="dcterms:W3CDTF">2023-01-18T12:22:27Z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